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c="http://schemas.openxmlformats.org/drawingml/2006/chart" xmlns:pic="http://schemas.openxmlformats.org/drawingml/2006/picture" xmlns:mc="http://schemas.openxmlformats.org/markup-compatibility/2006" xmlns:w14="http://schemas.microsoft.com/office/word/2010/wordml" xmlns:wpi="http://schemas.microsoft.com/office/word/2010/wordprocessingInk" xmlns:w15="http://schemas.microsoft.com/office/word/2012/wordml" xmlns:wp14="http://schemas.microsoft.com/office/word/2010/wordprocessingDrawing" xmlns:wps="http://schemas.microsoft.com/office/word/2010/wordprocessingShape" xmlns:wpg="http://schemas.microsoft.com/office/word/2010/wordprocessingGroup" xmlns:wpc="http://schemas.microsoft.com/office/word/2010/wordprocessingCanvas" xmlns:dgm="http://schemas.openxmlformats.org/drawingml/2006/diagram" xmlns:dsp="http://schemas.microsoft.com/office/drawing/2008/diagram" xmlns:m="http://schemas.openxmlformats.org/officeDocument/2006/math" xmlns:v="urn:schemas-microsoft-com:vml" xmlns:o="urn:schemas-microsoft-com:office:office" xmlns:w10="urn:schemas-microsoft-com:office:wor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mc:Ignorable="w14 w15 wp14">
  <w:body>
    <w:p>
      <w:pPr>
        <w:rPr>
          <w:rFonts w:ascii="Calibri" w:hAnsi="Calibri" w:cs="Calibri"/>
        </w:rPr>
      </w:pPr>
      <w:r>
        <w:rPr>
          <w:rFonts w:ascii="Calibri" w:hAnsi="Calibri" w:cs="Calibri"/>
          <w:b/>
          <w:color w:val="000000"/>
          <w:sz w:val="24"/>
        </w:rPr>
        <w:t xml:space="preserve">(La version française suit le texte anglais. Voir ci-dessous) </w:t>
      </w:r>
      <w:r>
        <w:rPr>
          <w:rFonts w:ascii="Calibri" w:hAnsi="Calibri" w:cs="Calibri"/>
          <w:b/>
          <w:color w:val="000000"/>
          <w:sz w:val="24"/>
          <w:u w:val="single"/>
        </w:rPr>
        <w:br/>
        <w:br/>
      </w:r>
      <w:r>
        <w:rPr>
          <w:rFonts w:ascii="Calibri" w:hAnsi="Calibri" w:cs="Calibri"/>
          <w:color w:val="505050"/>
          <w:sz w:val="24"/>
        </w:rPr>
        <w:t xml:space="preserve">Dear Member of Parliament [Last Name],</w:t>
      </w:r>
    </w:p>
    <w:p>
      <w:pPr>
        <w:rPr>
          <w:rFonts w:ascii="Calibri" w:hAnsi="Calibri" w:cs="Calibri"/>
        </w:rPr>
      </w:pPr>
      <w:r>
        <w:rPr>
          <w:rFonts w:ascii="Calibri" w:hAnsi="Calibri" w:cs="Calibri"/>
          <w:b/>
          <w:u w:val="single"/>
        </w:rPr>
        <w:t xml:space="preserve">Re:  Passing Bill C-224 into Law – I want you to do all you can to ensure that Bill C-224 is passed in its original form</w:t>
      </w:r>
    </w:p>
    <w:p>
      <w:pPr>
        <w:rPr>
          <w:rFonts w:ascii="Calibri" w:hAnsi="Calibri" w:cs="Calibri"/>
          <w:sz w:val="24"/>
          <w:szCs w:val="24"/>
        </w:rPr>
      </w:pPr>
      <w:r>
        <w:rPr>
          <w:rFonts w:ascii="Calibri" w:hAnsi="Calibri" w:cs="Calibri"/>
          <w:b/>
          <w:i/>
        </w:rPr>
        <w:t xml:space="preserve">I want you to do all you can to ensure that Bill C-224 is passed into law in its original form. </w:t>
      </w:r>
      <w:r>
        <w:rPr>
          <w:rFonts w:ascii="Calibri" w:hAnsi="Calibri" w:cs="Calibri"/>
          <w:sz w:val="24"/>
          <w:szCs w:val="24"/>
        </w:rPr>
        <w:t xml:space="preserve">The Liberals in the Standing Committee on Health changed Bill C-224. I want you to restore Bill C-224 to its original wording at the Report stage.</w:t>
      </w:r>
    </w:p>
    <w:p>
      <w:pPr>
        <w:rPr>
          <w:rFonts w:ascii="Calibri" w:hAnsi="Calibri" w:cs="Calibri"/>
        </w:rPr>
      </w:pPr>
      <w:r>
        <w:rPr>
          <w:rFonts w:ascii="Calibri" w:hAnsi="Calibri" w:cs="Calibri"/>
        </w:rPr>
        <w:t xml:space="preserve">Natural health products (NHPs) include vital nutrients we need to be healthy. NHPs also include natural remedies.</w:t>
      </w:r>
    </w:p>
    <w:p>
      <w:pPr>
        <w:rPr>
          <w:rFonts w:ascii="Calibri" w:hAnsi="Calibri" w:cs="Calibri"/>
        </w:rPr>
      </w:pPr>
      <w:r>
        <w:rPr>
          <w:rFonts w:ascii="Calibri" w:hAnsi="Calibri" w:cs="Calibri"/>
        </w:rPr>
        <w:t xml:space="preserve">Our vital nutrients and natural remedies should not be classed as drugs. Because they are classed as drugs it is actually illegal for us to access vital nutrients without Health Canada permission.  This is wrong.</w:t>
      </w:r>
    </w:p>
    <w:p>
      <w:pPr>
        <w:rPr>
          <w:rFonts w:ascii="Calibri" w:hAnsi="Calibri" w:cs="Calibri"/>
        </w:rPr>
      </w:pPr>
      <w:r>
        <w:rPr>
          <w:rFonts w:ascii="Calibri" w:hAnsi="Calibri" w:cs="Calibri"/>
        </w:rPr>
        <w:t xml:space="preserve">NHPs were not classed as drugs until recently in Canada.  </w:t>
      </w:r>
    </w:p>
    <w:p>
      <w:pPr>
        <w:rPr>
          <w:rFonts w:ascii="Calibri" w:hAnsi="Calibri" w:cs="Calibri"/>
          <w:sz w:val="24"/>
          <w:szCs w:val="24"/>
        </w:rPr>
      </w:pPr>
      <w:r>
        <w:rPr>
          <w:rFonts w:ascii="Calibri" w:hAnsi="Calibri" w:cs="Calibri"/>
        </w:rPr>
        <w:t xml:space="preserve">NHPs are not classed as drugs in the U.S.  Rather, they are classed as food. </w:t>
      </w:r>
      <w:r>
        <w:rPr>
          <w:rFonts w:ascii="Calibri" w:hAnsi="Calibri" w:cs="Calibri"/>
          <w:sz w:val="24"/>
          <w:szCs w:val="24"/>
        </w:rPr>
        <w:t xml:space="preserve">There is no requirement for government pre-approval in the form of a licence in the U.S. This is because Congress passed the </w:t>
      </w:r>
      <w:r>
        <w:rPr>
          <w:rFonts w:ascii="Calibri" w:hAnsi="Calibri" w:cs="Calibri"/>
          <w:i/>
          <w:sz w:val="24"/>
          <w:szCs w:val="24"/>
        </w:rPr>
        <w:t xml:space="preserve">Dietary Supplement Health and Education Act, 1994.</w:t>
      </w:r>
      <w:r>
        <w:rPr>
          <w:rFonts w:ascii="Calibri" w:hAnsi="Calibri" w:cs="Calibri"/>
          <w:sz w:val="24"/>
          <w:szCs w:val="24"/>
        </w:rPr>
        <w:t xml:space="preserve"> Why are NHPs freely available without onerous regulations in the U.S. but the same Canadian products are over-regulated and costly? Canadian products are not demonstrably safer or better than the U.S. products. All classifying NHPs as drugs in Canada has done is to make them less available and more costly in Canada.</w:t>
      </w:r>
    </w:p>
    <w:p>
      <w:pPr>
        <w:rPr>
          <w:rFonts w:ascii="Calibri" w:hAnsi="Calibri" w:cs="Calibri"/>
          <w:sz w:val="24"/>
          <w:szCs w:val="24"/>
        </w:rPr>
      </w:pPr>
      <w:r>
        <w:rPr>
          <w:rFonts w:ascii="Calibri" w:hAnsi="Calibri" w:cs="Calibri"/>
          <w:sz w:val="24"/>
          <w:szCs w:val="24"/>
        </w:rPr>
        <w:t xml:space="preserve">Low income Canadians can no longer afford NHPs because the heavy regulatory burden has driven their cost higher. In other words, low income Canadians can no longer afford vital nutrients they need to be healthy. This is ethically wrong and serves no purpose.</w:t>
      </w:r>
    </w:p>
    <w:p>
      <w:pPr>
        <w:rPr>
          <w:rFonts w:ascii="Calibri" w:hAnsi="Calibri" w:cs="Calibri"/>
        </w:rPr>
      </w:pPr>
      <w:r>
        <w:rPr>
          <w:rFonts w:ascii="Calibri" w:hAnsi="Calibri" w:cs="Calibri"/>
          <w:sz w:val="24"/>
          <w:szCs w:val="24"/>
        </w:rPr>
        <w:t xml:space="preserve">Not only are NHPs classed as drugs in Canada, but in the 2023 Budget Bill (Bill C-47), NHPs were moved into the </w:t>
      </w:r>
      <w:r>
        <w:rPr>
          <w:rFonts w:ascii="Calibri" w:hAnsi="Calibri" w:cs="Calibri"/>
          <w:i/>
          <w:sz w:val="24"/>
          <w:szCs w:val="24"/>
        </w:rPr>
        <w:t xml:space="preserve">therapeutic product</w:t>
      </w:r>
      <w:r>
        <w:rPr>
          <w:rFonts w:ascii="Calibri" w:hAnsi="Calibri" w:cs="Calibri"/>
          <w:sz w:val="24"/>
          <w:szCs w:val="24"/>
        </w:rPr>
        <w:t xml:space="preserve"> category of drugs. The </w:t>
      </w:r>
      <w:r>
        <w:rPr>
          <w:rFonts w:ascii="Calibri" w:hAnsi="Calibri" w:cs="Calibri"/>
          <w:i/>
          <w:sz w:val="24"/>
          <w:szCs w:val="24"/>
        </w:rPr>
        <w:t xml:space="preserve">therapeutic product</w:t>
      </w:r>
      <w:r>
        <w:rPr>
          <w:rFonts w:ascii="Calibri" w:hAnsi="Calibri" w:cs="Calibri"/>
          <w:sz w:val="24"/>
          <w:szCs w:val="24"/>
        </w:rPr>
        <w:t xml:space="preserve"> category of drug is the category for dangerous chemical drugs such as thalidomide and vioxx. Our natural remedies and essential nutrients such as ginger tea and vitamin C should not be regulated the same as dangerous drugs such as thalidomide and vioxx. This is grossly inappropriate.  It adds to the over-regulation of NHPs. NHP should be protected and promoted instead of being over-regulated.</w:t>
      </w:r>
    </w:p>
    <w:p>
      <w:pPr>
        <w:rPr>
          <w:rFonts w:ascii="Calibri" w:hAnsi="Calibri" w:cs="Calibri"/>
          <w:sz w:val="24"/>
          <w:szCs w:val="24"/>
        </w:rPr>
      </w:pPr>
      <w:r>
        <w:rPr>
          <w:rFonts w:ascii="Calibri" w:hAnsi="Calibri" w:cs="Calibri"/>
        </w:rPr>
        <w:t xml:space="preserve">Bill C-224 corrects the error made in Bill C-47. Bill c-224 moves natural health products back out of </w:t>
      </w:r>
      <w:r>
        <w:rPr>
          <w:rFonts w:ascii="Calibri" w:hAnsi="Calibri" w:cs="Calibri"/>
          <w:i/>
        </w:rPr>
        <w:t xml:space="preserve">the therapeutic product</w:t>
      </w:r>
      <w:r>
        <w:rPr>
          <w:rFonts w:ascii="Calibri" w:hAnsi="Calibri" w:cs="Calibri"/>
        </w:rPr>
        <w:t xml:space="preserve"> category and into the regular drug category NHPs were in before the 2023 Budget Bill. </w:t>
      </w:r>
    </w:p>
    <w:p>
      <w:pPr>
        <w:rPr>
          <w:rFonts w:ascii="Calibri" w:hAnsi="Calibri" w:cs="Calibri"/>
          <w:sz w:val="24"/>
          <w:szCs w:val="24"/>
        </w:rPr>
      </w:pPr>
      <w:r>
        <w:rPr>
          <w:rFonts w:ascii="Calibri" w:hAnsi="Calibri" w:cs="Calibri"/>
          <w:b/>
          <w:bCs/>
          <w:i/>
          <w:iCs/>
          <w:sz w:val="24"/>
          <w:szCs w:val="24"/>
        </w:rPr>
        <w:t xml:space="preserve">I want you to support Bill C-224 in its original form. </w:t>
      </w:r>
      <w:r>
        <w:rPr>
          <w:rFonts w:ascii="Calibri" w:hAnsi="Calibri" w:cs="Calibri"/>
          <w:sz w:val="24"/>
          <w:szCs w:val="24"/>
        </w:rPr>
        <w:t xml:space="preserve"> I want you to restore Bill C-224 to its original wording at the Report stage. I don’t want NHPs classed as drugs at all! I definitely don’t want NHPs classed as </w:t>
      </w:r>
      <w:r>
        <w:rPr>
          <w:rFonts w:ascii="Calibri" w:hAnsi="Calibri" w:cs="Calibri"/>
          <w:i/>
          <w:iCs/>
          <w:sz w:val="24"/>
          <w:szCs w:val="24"/>
        </w:rPr>
        <w:t xml:space="preserve">therapeutic products</w:t>
      </w:r>
      <w:r>
        <w:rPr>
          <w:rFonts w:ascii="Calibri" w:hAnsi="Calibri" w:cs="Calibri"/>
          <w:sz w:val="24"/>
          <w:szCs w:val="24"/>
        </w:rPr>
        <w:t xml:space="preserve">. </w:t>
      </w:r>
    </w:p>
    <w:p>
      <w:pPr>
        <w:rPr>
          <w:rFonts w:ascii="Calibri" w:hAnsi="Calibri" w:cs="Calibri"/>
          <w:sz w:val="24"/>
          <w:szCs w:val="24"/>
        </w:rPr>
      </w:pPr>
      <w:r>
        <w:rPr>
          <w:rFonts w:ascii="Calibri" w:hAnsi="Calibri" w:cs="Calibri"/>
          <w:sz w:val="24"/>
          <w:szCs w:val="24"/>
        </w:rPr>
        <w:t xml:space="preserve">I also want you to pass the </w:t>
      </w:r>
      <w:r>
        <w:rPr>
          <w:rFonts w:ascii="Calibri" w:hAnsi="Calibri" w:cs="Calibri"/>
          <w:i/>
          <w:sz w:val="24"/>
          <w:szCs w:val="24"/>
        </w:rPr>
        <w:t xml:space="preserve">Charter of Health Freedom</w:t>
      </w:r>
      <w:r>
        <w:rPr>
          <w:rFonts w:ascii="Calibri" w:hAnsi="Calibri" w:cs="Calibri"/>
          <w:sz w:val="24"/>
          <w:szCs w:val="24"/>
        </w:rPr>
        <w:t xml:space="preserve"> into law so that my access to NHPs is protected and promoted (https://www.charterofhealthfreedom.org/).  </w:t>
      </w:r>
    </w:p>
    <w:p>
      <w:pPr>
        <w:rPr>
          <w:rFonts w:ascii="Calibri" w:hAnsi="Calibri" w:cs="Calibri"/>
        </w:rPr>
      </w:pPr>
      <w:r>
        <w:rPr>
          <w:rFonts w:ascii="Calibri" w:hAnsi="Calibri" w:cs="Calibri"/>
          <w:sz w:val="24"/>
          <w:szCs w:val="24"/>
        </w:rPr>
        <w:t xml:space="preserve">I am tired of the over-regulation of NHPs. I am counting on you to support Bill C-224.</w:t>
        <w:br/>
        <w:br/>
        <w:br/>
        <w:t xml:space="preserve">---------------------------------------------------------------------------------------------------------------------------</w:t>
        <w:br/>
        <w:br/>
      </w:r>
      <w:r>
        <w:rPr>
          <w:rFonts w:ascii="Calibri" w:hAnsi="Calibri" w:cs="Calibri"/>
          <w:color w:val="000000"/>
          <w:sz w:val="24"/>
        </w:rPr>
        <w:t xml:space="preserve">Madame la députée / Monsieur le député [Nom de famille],</w:t>
      </w:r>
    </w:p>
    <w:p>
      <w:pPr>
        <w:rPr>
          <w:rFonts w:ascii="Calibri" w:hAnsi="Calibri" w:cs="Calibri"/>
          <w:b/>
          <w:bCs/>
          <w:color w:val="000000"/>
          <w:sz w:val="24"/>
        </w:rPr>
      </w:pPr>
      <w:r>
        <w:rPr>
          <w:rFonts w:ascii="Calibri" w:hAnsi="Calibri" w:cs="Calibri"/>
          <w:b/>
          <w:bCs/>
          <w:color w:val="000000"/>
          <w:sz w:val="24"/>
        </w:rPr>
        <w:t xml:space="preserve">Objet : Adopter le projet de loi C-224 – Je vous demande de faire tout ce qui est en votre pouvoir pour que le projet de loi C-224 soit adopté dans sa forme originale</w:t>
      </w:r>
    </w:p>
    <w:p>
      <w:pPr>
        <w:rPr>
          <w:rFonts w:ascii="Calibri" w:hAnsi="Calibri" w:cs="Calibri"/>
          <w:color w:val="000000"/>
          <w:sz w:val="24"/>
        </w:rPr>
      </w:pPr>
      <w:r>
        <w:rPr>
          <w:rFonts w:ascii="Calibri" w:hAnsi="Calibri" w:cs="Calibri"/>
          <w:b/>
          <w:bCs/>
          <w:color w:val="000000"/>
          <w:sz w:val="24"/>
        </w:rPr>
        <w:t xml:space="preserve">Je vous demande de faire tout ce qui est en votre pouvoir pour que le projet de loi C-224 soit adopté dans sa forme originale.</w:t>
      </w:r>
      <w:r>
        <w:rPr>
          <w:rFonts w:ascii="Calibri" w:hAnsi="Calibri" w:cs="Calibri"/>
          <w:color w:val="000000"/>
          <w:sz w:val="24"/>
        </w:rPr>
        <w:t xml:space="preserve"> Les députés libéraux du Comité permanent de la santé ont modifié le projet de loi C-224. Je vous demande de rétablir son libellé original à l’étape du rapport.</w:t>
      </w:r>
    </w:p>
    <w:p>
      <w:pPr>
        <w:rPr>
          <w:rFonts w:ascii="Calibri" w:hAnsi="Calibri" w:cs="Calibri"/>
          <w:color w:val="000000"/>
          <w:sz w:val="24"/>
        </w:rPr>
      </w:pPr>
      <w:r>
        <w:rPr>
          <w:rFonts w:ascii="Calibri" w:hAnsi="Calibri" w:cs="Calibri"/>
          <w:color w:val="000000"/>
          <w:sz w:val="24"/>
        </w:rPr>
        <w:t xml:space="preserve">Les produits de santé naturels (PSN) comprennent des nutriments essentiels dont nous avons besoin pour être en santé. Ils comprennent également des remèdes naturels.</w:t>
      </w:r>
    </w:p>
    <w:p>
      <w:pPr>
        <w:rPr>
          <w:rFonts w:ascii="Calibri" w:hAnsi="Calibri" w:cs="Calibri"/>
          <w:color w:val="000000"/>
          <w:sz w:val="24"/>
        </w:rPr>
      </w:pPr>
      <w:r>
        <w:rPr>
          <w:rFonts w:ascii="Calibri" w:hAnsi="Calibri" w:cs="Calibri"/>
          <w:color w:val="000000"/>
          <w:sz w:val="24"/>
        </w:rPr>
        <w:t xml:space="preserve">Nos nutriments essentiels et nos remèdes naturels ne devraient pas être classés comme des médicaments. Pourtant, parce qu’ils sont classés comme tels, il est en fait illégal d’avoir accès à des nutriments essentiels sans l’autorisation de Santé Canada. Cette situation est inacceptable.</w:t>
      </w:r>
    </w:p>
    <w:p>
      <w:pPr>
        <w:rPr>
          <w:rFonts w:ascii="Calibri" w:hAnsi="Calibri" w:cs="Calibri"/>
          <w:color w:val="000000"/>
          <w:sz w:val="24"/>
        </w:rPr>
      </w:pPr>
      <w:r>
        <w:rPr>
          <w:rFonts w:ascii="Calibri" w:hAnsi="Calibri" w:cs="Calibri"/>
          <w:color w:val="000000"/>
          <w:sz w:val="24"/>
        </w:rPr>
        <w:t xml:space="preserve">Au Canada, les PSN n’ont été classés comme médicaments que relativement récemment.</w:t>
      </w:r>
    </w:p>
    <w:p>
      <w:pPr>
        <w:rPr>
          <w:rFonts w:ascii="Calibri" w:hAnsi="Calibri" w:cs="Calibri"/>
          <w:color w:val="000000"/>
          <w:sz w:val="24"/>
        </w:rPr>
      </w:pPr>
      <w:r>
        <w:rPr>
          <w:rFonts w:ascii="Calibri" w:hAnsi="Calibri" w:cs="Calibri"/>
          <w:color w:val="000000"/>
          <w:sz w:val="24"/>
        </w:rPr>
        <w:t xml:space="preserve">Aux États-Unis, les PSN ne sont pas classés comme des médicaments, mais plutôt comme des aliments. Aucune approbation gouvernementale préalable sous forme de licence n’est exigée. Cette situation découle de l’adoption par le Congrès américain de la </w:t>
      </w:r>
      <w:r>
        <w:rPr>
          <w:rFonts w:ascii="Calibri" w:hAnsi="Calibri" w:cs="Calibri"/>
          <w:b/>
          <w:bCs/>
          <w:i/>
          <w:iCs/>
          <w:color w:val="000000"/>
          <w:sz w:val="24"/>
        </w:rPr>
        <w:t xml:space="preserve">Dietary Supplement Health and Education Act of 1994</w:t>
      </w:r>
      <w:r>
        <w:rPr>
          <w:rFonts w:ascii="Calibri" w:hAnsi="Calibri" w:cs="Calibri"/>
          <w:color w:val="000000"/>
          <w:sz w:val="24"/>
        </w:rPr>
        <w:t xml:space="preserve">.</w:t>
      </w:r>
    </w:p>
    <w:p>
      <w:pPr>
        <w:rPr>
          <w:rFonts w:ascii="Calibri" w:hAnsi="Calibri" w:cs="Calibri"/>
          <w:color w:val="000000"/>
          <w:sz w:val="24"/>
        </w:rPr>
      </w:pPr>
      <w:r>
        <w:rPr>
          <w:rFonts w:ascii="Calibri" w:hAnsi="Calibri" w:cs="Calibri"/>
          <w:color w:val="000000"/>
          <w:sz w:val="24"/>
        </w:rPr>
        <w:t xml:space="preserve">Pourquoi les PSN sont-ils librement accessibles aux États-Unis sans réglementation excessive, alors que les mêmes produits canadiens sont soumis à une réglementation excessive et coûtent plus cher? Il n’a pas été démontré que les produits canadiens sont plus sûrs ou de meilleure qualité que les produits américains. Tout ce que le classement des PSN comme médicaments a accompli au Canada, c’est de les rendre moins accessibles et plus coûteux.</w:t>
      </w:r>
    </w:p>
    <w:p>
      <w:pPr>
        <w:rPr>
          <w:rFonts w:ascii="Calibri" w:hAnsi="Calibri" w:cs="Calibri"/>
          <w:color w:val="000000"/>
          <w:sz w:val="24"/>
        </w:rPr>
      </w:pPr>
      <w:r>
        <w:rPr>
          <w:rFonts w:ascii="Calibri" w:hAnsi="Calibri" w:cs="Calibri"/>
          <w:color w:val="000000"/>
          <w:sz w:val="24"/>
        </w:rPr>
        <w:t xml:space="preserve">Les Canadiens à faible revenu ne peuvent plus se permettre d’acheter des PSN, car le lourd fardeau réglementaire en a fait grimper le coût. Autrement dit, les Canadiens à faible revenu n’ont plus les moyens de se procurer les nutriments essentiels dont ils ont besoin pour être en santé. C’est inacceptable sur le plan éthique et cela ne sert à rien.</w:t>
      </w:r>
    </w:p>
    <w:p>
      <w:pPr>
        <w:rPr>
          <w:rFonts w:ascii="Calibri" w:hAnsi="Calibri" w:cs="Calibri"/>
          <w:color w:val="000000"/>
          <w:sz w:val="24"/>
        </w:rPr>
      </w:pPr>
      <w:r>
        <w:rPr>
          <w:rFonts w:ascii="Calibri" w:hAnsi="Calibri" w:cs="Calibri"/>
          <w:color w:val="000000"/>
          <w:sz w:val="24"/>
        </w:rPr>
        <w:t xml:space="preserve">Non seulement les PSN sont-ils classés comme des médicaments au Canada, mais le projet de loi budgétaire de 2023 (projet de loi C-47) les a également transférés dans la catégorie des </w:t>
      </w:r>
      <w:r>
        <w:rPr>
          <w:rFonts w:ascii="Calibri" w:hAnsi="Calibri" w:cs="Calibri"/>
          <w:b/>
          <w:bCs/>
          <w:i/>
          <w:iCs/>
          <w:color w:val="000000"/>
          <w:sz w:val="24"/>
        </w:rPr>
        <w:t xml:space="preserve">produits thérapeutiques</w:t>
      </w:r>
      <w:r>
        <w:rPr>
          <w:rFonts w:ascii="Calibri" w:hAnsi="Calibri" w:cs="Calibri"/>
          <w:color w:val="000000"/>
          <w:sz w:val="24"/>
        </w:rPr>
        <w:t xml:space="preserve">. Cette catégorie est destinée aux médicaments chimiques dangereux, comme la thalidomide et le Vioxx.</w:t>
      </w:r>
    </w:p>
    <w:p>
      <w:pPr>
        <w:rPr>
          <w:rFonts w:ascii="Calibri" w:hAnsi="Calibri" w:cs="Calibri"/>
          <w:color w:val="000000"/>
          <w:sz w:val="24"/>
        </w:rPr>
      </w:pPr>
      <w:r>
        <w:rPr>
          <w:rFonts w:ascii="Calibri" w:hAnsi="Calibri" w:cs="Calibri"/>
          <w:color w:val="000000"/>
          <w:sz w:val="24"/>
        </w:rPr>
        <w:t xml:space="preserve">Nos remèdes naturels et nos nutriments essentiels, comme le thé au gingembre et la vitamine C, ne devraient pas être réglementés de la même manière que des médicaments dangereux comme la thalidomide et le Vioxx. C’est tout à fait inapproprié et cela accentue la réglementation excessive des PSN. Les produits de santé naturels devraient être protégés et leur accès favorisé, plutôt que d’être soumis à une réglementation excessive.</w:t>
      </w:r>
    </w:p>
    <w:p>
      <w:pPr>
        <w:rPr>
          <w:rFonts w:ascii="Calibri" w:hAnsi="Calibri" w:cs="Calibri"/>
          <w:color w:val="000000"/>
          <w:sz w:val="24"/>
        </w:rPr>
      </w:pPr>
      <w:r>
        <w:rPr>
          <w:rFonts w:ascii="Calibri" w:hAnsi="Calibri" w:cs="Calibri"/>
          <w:color w:val="000000"/>
          <w:sz w:val="24"/>
        </w:rPr>
        <w:t xml:space="preserve">Le projet de loi C-224 corrige l’erreur commise dans le projet de loi C-47. Il retire les produits de santé naturels de la catégorie des </w:t>
      </w:r>
      <w:r>
        <w:rPr>
          <w:rFonts w:ascii="Calibri" w:hAnsi="Calibri" w:cs="Calibri"/>
          <w:b/>
          <w:bCs/>
          <w:i/>
          <w:iCs/>
          <w:color w:val="000000"/>
          <w:sz w:val="24"/>
        </w:rPr>
        <w:t xml:space="preserve">produits thérapeutiques</w:t>
      </w:r>
      <w:r>
        <w:rPr>
          <w:rFonts w:ascii="Calibri" w:hAnsi="Calibri" w:cs="Calibri"/>
          <w:color w:val="000000"/>
          <w:sz w:val="24"/>
        </w:rPr>
        <w:t xml:space="preserve"> et les réintègre dans la catégorie réglementaire ordinaire dont ils relevaient avant l’adoption du projet de loi budgétaire de 2023.</w:t>
      </w:r>
    </w:p>
    <w:p>
      <w:pPr>
        <w:rPr>
          <w:rFonts w:ascii="Calibri" w:hAnsi="Calibri" w:cs="Calibri"/>
          <w:color w:val="000000"/>
          <w:sz w:val="24"/>
        </w:rPr>
      </w:pPr>
      <w:r>
        <w:rPr>
          <w:rFonts w:ascii="Calibri" w:hAnsi="Calibri" w:cs="Calibri"/>
          <w:b/>
          <w:bCs/>
          <w:color w:val="000000"/>
          <w:sz w:val="24"/>
        </w:rPr>
        <w:t xml:space="preserve">Je vous demande d’appuyer le projet de loi C-224 dans sa forme originale. </w:t>
      </w:r>
      <w:r>
        <w:rPr>
          <w:rFonts w:ascii="Calibri" w:hAnsi="Calibri" w:cs="Calibri"/>
          <w:color w:val="000000"/>
          <w:sz w:val="24"/>
        </w:rPr>
        <w:t xml:space="preserve">Je vous demande de rétablir son libellé original à l’étape du rapport. Je ne veux pas que les PSN soient classés comme des médicaments. Je ne veux certainement pas qu’ils soient classés comme des </w:t>
      </w:r>
      <w:r>
        <w:rPr>
          <w:rFonts w:ascii="Calibri" w:hAnsi="Calibri" w:cs="Calibri"/>
          <w:b/>
          <w:bCs/>
          <w:i/>
          <w:iCs/>
          <w:color w:val="000000"/>
          <w:sz w:val="24"/>
        </w:rPr>
        <w:t xml:space="preserve">produits thérapeutiques.</w:t>
      </w:r>
    </w:p>
    <w:p>
      <w:pPr>
        <w:rPr>
          <w:rFonts w:ascii="Calibri" w:hAnsi="Calibri" w:cs="Calibri"/>
          <w:color w:val="000000"/>
          <w:sz w:val="24"/>
        </w:rPr>
      </w:pPr>
      <w:r>
        <w:rPr>
          <w:rFonts w:ascii="Calibri" w:hAnsi="Calibri" w:cs="Calibri"/>
          <w:color w:val="000000"/>
          <w:sz w:val="24"/>
        </w:rPr>
        <w:t xml:space="preserve">Je vous demande également d’adopter la </w:t>
      </w:r>
      <w:r>
        <w:rPr>
          <w:rFonts w:ascii="Calibri" w:hAnsi="Calibri" w:cs="Calibri"/>
          <w:b/>
          <w:bCs/>
          <w:i/>
          <w:iCs/>
          <w:color w:val="000000"/>
          <w:sz w:val="24"/>
        </w:rPr>
        <w:t xml:space="preserve">Charte de la santé</w:t>
      </w:r>
      <w:r>
        <w:rPr>
          <w:rFonts w:ascii="Calibri" w:hAnsi="Calibri" w:cs="Calibri"/>
          <w:color w:val="000000"/>
          <w:sz w:val="24"/>
        </w:rPr>
        <w:t xml:space="preserve"> afin que mon accès aux produits de santé naturels soit protégé et favorisé par la loi : https://www.charterofhealthfreedom.org/</w:t>
      </w:r>
    </w:p>
    <w:p>
      <w:pPr>
        <w:rPr>
          <w:rFonts w:ascii="Calibri" w:hAnsi="Calibri" w:cs="Calibri"/>
          <w:color w:val="000000"/>
          <w:sz w:val="24"/>
        </w:rPr>
      </w:pPr>
      <w:r>
        <w:rPr>
          <w:rFonts w:ascii="Calibri" w:hAnsi="Calibri" w:cs="Calibri"/>
          <w:color w:val="000000"/>
          <w:sz w:val="24"/>
        </w:rPr>
        <w:t xml:space="preserve">J’en ai assez de la réglementation excessive des produits de santé naturels. Je compte sur vous pour appuyer le projet de loi C-224.</w:t>
      </w:r>
    </w:p>
    <w:p>
      <w:pPr>
        <w:rPr>
          <w:rFonts w:ascii="Calibri" w:hAnsi="Calibri" w:cs="Calibri"/>
          <w:color w:val="000000"/>
          <w:sz w:val="24"/>
        </w:rPr>
      </w:pPr>
      <w:r>
        <w:rPr>
          <w:rFonts w:ascii="Calibri" w:hAnsi="Calibri" w:cs="Calibri"/>
          <w:color w:val="000000"/>
          <w:sz w:val="24"/>
        </w:rPr>
        <w:t xml:space="preserve">Veuillez agréer mes salutations distinguées.</w:t>
      </w:r>
    </w:p>
    <w:p>
      <w:pPr>
        <w:rPr>
          <w:rFonts w:ascii="Calibri" w:hAnsi="Calibri" w:cs="Calibri"/>
        </w:rPr>
      </w:pPr>
    </w:p>
    <w:sectPr>
      <w:type w:val="nextPage"/>
      <w:pgSz w:w="12240" w:h="15840"/>
      <w:pgMar w:top="1440" w:right="1440" w:bottom="1440" w:left="1440" w:header="708" w:footer="708" w:gutter="0"/>
      <w:cols w:space="708" w:num="1"/>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grammar="clean"/>
  <w:defaultTabStop w:val="720"/>
  <w:characterSpacingControl w:val="doNotCompress"/>
  <w:footnotePr>
    <w:numFmt w:val="decimal"/>
  </w:footnotePr>
  <w:endnotePr>
    <w:numFmt w:val="lowerRoman"/>
  </w:endnotePr>
  <w:compat>
    <w:compatSetting w:name="compatibilityMode" w:uri="http://schemas.microsoft.com/office/word" w:val="12"/>
  </w:compat>
  <w:rsids>
    <w:rsidRoot w:val="00C06D3D"/>
    <w:rsid w:val="00202C7C"/>
    <w:rsid w:val="00313C24"/>
    <w:rsid w:val="0084282C"/>
    <w:rsid w:val="00BA6E6E"/>
    <w:rsid w:val="00C06D3D"/>
    <w:rsid w:val="00F55C8B"/>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c="http://schemas.openxmlformats.org/drawingml/2006/chart" xmlns:pic="http://schemas.openxmlformats.org/drawingml/2006/picture" xmlns:mc="http://schemas.openxmlformats.org/markup-compatibility/2006" xmlns:w14="http://schemas.microsoft.com/office/word/2010/wordml" xmlns:wpi="http://schemas.microsoft.com/office/word/2010/wordprocessingInk" xmlns:w15="http://schemas.microsoft.com/office/word/2012/wordml" xmlns:wp14="http://schemas.microsoft.com/office/word/2010/wordprocessingDrawing" xmlns:wps="http://schemas.microsoft.com/office/word/2010/wordprocessingShape" xmlns:wpg="http://schemas.microsoft.com/office/word/2010/wordprocessingGroup" xmlns:wpc="http://schemas.microsoft.com/office/word/2010/wordprocessingCanvas" xmlns:dgm="http://schemas.openxmlformats.org/drawingml/2006/diagram" xmlns:dsp="http://schemas.microsoft.com/office/drawing/2008/diagram" xmlns:m="http://schemas.openxmlformats.org/officeDocument/2006/math" xmlns:v="urn:schemas-microsoft-com:vml" xmlns:o="urn:schemas-microsoft-com:office:office" xmlns:w10="urn:schemas-microsoft-com:office:wor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mc:Ignorable="w14 w15 wp14">
  <w:docDefaults>
    <w:rPrDefault>
      <w:rPr>
        <w:rFonts w:ascii="Calibri" w:hAnsi="Calibr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qFormat/>
    <w:tblPr>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basedOn w:val="Normal"/>
    <w:uiPriority w:val="1"/>
    <w:qFormat/>
    <w:pPr>
      <w:spacing w:after="0" w:line="240" w:lineRule="auto"/>
    </w:pPr>
  </w:style>
  <w:style w:type="paragraph" w:styleId="Heading1">
    <w:name w:val="heading 1"/>
    <w:basedOn w:val="Normal"/>
    <w:next w:val="Normal"/>
    <w:link w:val="Heading1Char"/>
    <w:uiPriority w:val="10"/>
    <w:qFormat/>
    <w:pPr>
      <w:keepNext/>
      <w:keepLines/>
      <w:spacing w:before="360" w:after="80"/>
      <w:outlineLvl w:val="0"/>
    </w:pPr>
    <w:rPr>
      <w:rFonts w:ascii="Aptos Display" w:hAnsi="Aptos Display"/>
      <w:color w:val="0F4761"/>
      <w:sz w:val="40"/>
    </w:rPr>
  </w:style>
  <w:style w:type="paragraph" w:styleId="Heading2">
    <w:name w:val="heading 2"/>
    <w:basedOn w:val="Normal"/>
    <w:next w:val="Normal"/>
    <w:link w:val="Heading2Char"/>
    <w:uiPriority w:val="11"/>
    <w:qFormat/>
    <w:pPr>
      <w:keepNext/>
      <w:keepLines/>
      <w:spacing w:before="160" w:after="80"/>
      <w:outlineLvl w:val="1"/>
    </w:pPr>
    <w:rPr>
      <w:rFonts w:ascii="Aptos Display" w:hAnsi="Aptos Display"/>
      <w:color w:val="0F4761"/>
      <w:sz w:val="32"/>
    </w:rPr>
  </w:style>
  <w:style w:type="paragraph" w:styleId="Heading3">
    <w:name w:val="heading 3"/>
    <w:basedOn w:val="Normal"/>
    <w:next w:val="Normal"/>
    <w:link w:val="Heading3Char"/>
    <w:uiPriority w:val="12"/>
    <w:qFormat/>
    <w:pPr>
      <w:keepNext/>
      <w:keepLines/>
      <w:spacing w:before="160" w:after="80"/>
      <w:outlineLvl w:val="2"/>
    </w:pPr>
    <w:rPr>
      <w:rFonts w:ascii="Aptos" w:hAnsi="Aptos"/>
      <w:color w:val="0F4761"/>
      <w:sz w:val="28"/>
    </w:rPr>
  </w:style>
  <w:style w:type="paragraph" w:styleId="Heading4">
    <w:name w:val="heading 4"/>
    <w:basedOn w:val="Normal"/>
    <w:next w:val="Normal"/>
    <w:link w:val="Heading4Char"/>
    <w:uiPriority w:val="13"/>
    <w:pPr>
      <w:keepNext/>
      <w:keepLines/>
      <w:spacing w:before="80" w:after="40"/>
      <w:outlineLvl w:val="3"/>
    </w:pPr>
    <w:rPr>
      <w:rFonts w:ascii="Aptos" w:hAnsi="Aptos"/>
      <w:i/>
      <w:color w:val="0F4761"/>
      <w:sz w:val="24"/>
    </w:rPr>
  </w:style>
  <w:style w:type="paragraph" w:styleId="Heading5">
    <w:name w:val="heading 5"/>
    <w:basedOn w:val="Normal"/>
    <w:next w:val="Normal"/>
    <w:link w:val="Heading5Char"/>
    <w:uiPriority w:val="14"/>
    <w:pPr>
      <w:keepNext/>
      <w:keepLines/>
      <w:spacing w:before="80" w:after="40"/>
      <w:outlineLvl w:val="4"/>
    </w:pPr>
    <w:rPr>
      <w:rFonts w:ascii="Aptos" w:hAnsi="Aptos"/>
      <w:color w:val="0F4761"/>
      <w:sz w:val="24"/>
    </w:rPr>
  </w:style>
  <w:style w:type="paragraph" w:styleId="Heading6">
    <w:name w:val="heading 6"/>
    <w:basedOn w:val="Normal"/>
    <w:next w:val="Normal"/>
    <w:link w:val="Heading6Char"/>
    <w:uiPriority w:val="15"/>
    <w:pPr>
      <w:keepNext/>
      <w:keepLines/>
      <w:spacing w:before="40" w:after="0"/>
      <w:outlineLvl w:val="5"/>
    </w:pPr>
    <w:rPr>
      <w:rFonts w:ascii="Aptos" w:hAnsi="Aptos"/>
      <w:i/>
      <w:color w:val="595959"/>
      <w:sz w:val="24"/>
    </w:rPr>
  </w:style>
  <w:style w:type="paragraph" w:styleId="Heading7">
    <w:name w:val="heading 7"/>
    <w:basedOn w:val="Normal"/>
    <w:next w:val="Normal"/>
    <w:link w:val="Heading7Char"/>
    <w:uiPriority w:val="16"/>
    <w:pPr>
      <w:keepNext/>
      <w:keepLines/>
      <w:spacing w:before="40" w:after="0"/>
      <w:outlineLvl w:val="6"/>
    </w:pPr>
    <w:rPr>
      <w:rFonts w:ascii="Aptos" w:hAnsi="Aptos"/>
      <w:color w:val="595959"/>
      <w:sz w:val="24"/>
    </w:rPr>
  </w:style>
  <w:style w:type="paragraph" w:styleId="Heading8">
    <w:name w:val="heading 8"/>
    <w:basedOn w:val="Normal"/>
    <w:next w:val="Normal"/>
    <w:link w:val="Heading8Char"/>
    <w:uiPriority w:val="17"/>
    <w:pPr>
      <w:keepNext/>
      <w:keepLines/>
      <w:spacing w:before="0" w:after="0"/>
      <w:outlineLvl w:val="7"/>
    </w:pPr>
    <w:rPr>
      <w:rFonts w:ascii="Aptos" w:hAnsi="Aptos"/>
      <w:i/>
      <w:color w:val="272727"/>
      <w:sz w:val="24"/>
    </w:rPr>
  </w:style>
  <w:style w:type="paragraph" w:styleId="Heading9">
    <w:name w:val="heading 9"/>
    <w:basedOn w:val="Normal"/>
    <w:next w:val="Normal"/>
    <w:link w:val="Heading9Char"/>
    <w:uiPriority w:val="18"/>
    <w:pPr>
      <w:keepNext/>
      <w:keepLines/>
      <w:spacing w:before="0" w:after="0"/>
      <w:outlineLvl w:val="8"/>
    </w:pPr>
    <w:rPr>
      <w:rFonts w:ascii="Aptos" w:hAnsi="Aptos"/>
      <w:color w:val="272727"/>
      <w:sz w:val="24"/>
    </w:rPr>
  </w:style>
  <w:style w:type="paragraph" w:styleId="Title">
    <w:name w:val="Title"/>
    <w:basedOn w:val="Normal"/>
    <w:next w:val="Normal"/>
    <w:uiPriority w:val="10"/>
    <w:qFormat/>
    <w:pPr>
      <w:spacing w:after="80" w:line="240" w:lineRule="auto"/>
      <w:contextualSpacing/>
    </w:pPr>
    <w:rPr>
      <w:rFonts w:ascii="Aptos Display" w:hAnsi="Aptos Display"/>
      <w:spacing w:val="-10"/>
      <w:kern w:val="28"/>
      <w:sz w:val="56"/>
    </w:rPr>
  </w:style>
  <w:style w:type="paragraph" w:styleId="Subtitle">
    <w:name w:val="Subtitle"/>
    <w:basedOn w:val="Normal"/>
    <w:next w:val="Normal"/>
    <w:uiPriority w:val="11"/>
    <w:qFormat/>
    <w:rPr>
      <w:color w:val="595959"/>
      <w:spacing w:val="15"/>
      <w:sz w:val="28"/>
    </w:rPr>
  </w:style>
  <w:style w:type="character" w:styleId="SubtleEmphasis">
    <w:name w:val="Subtle Emphasis"/>
    <w:basedOn w:val="DefaultParagraphFont"/>
    <w:uiPriority w:val="19"/>
    <w:qFormat/>
    <w:rPr>
      <w:i/>
      <w:color w:val="404040"/>
    </w:rPr>
  </w:style>
  <w:style w:type="character" w:styleId="Emphasis">
    <w:name w:val="Emphasis"/>
    <w:basedOn w:val="DefaultParagraphFont"/>
    <w:uiPriority w:val="20"/>
    <w:qFormat/>
    <w:rPr>
      <w:i/>
    </w:rPr>
  </w:style>
  <w:style w:type="character" w:styleId="IntenseEmphasis">
    <w:name w:val="Intense Emphasis"/>
    <w:basedOn w:val="DefaultParagraphFont"/>
    <w:uiPriority w:val="21"/>
    <w:qFormat/>
    <w:rPr>
      <w:i/>
      <w:color w:val="0F4761"/>
    </w:rPr>
  </w:style>
  <w:style w:type="character" w:styleId="Strong">
    <w:name w:val="Strong"/>
    <w:basedOn w:val="DefaultParagraphFont"/>
    <w:uiPriority w:val="22"/>
    <w:qFormat/>
    <w:rPr>
      <w:b/>
    </w:rPr>
  </w:style>
  <w:style w:type="paragraph" w:styleId="Quote">
    <w:name w:val="Quote"/>
    <w:basedOn w:val="Normal"/>
    <w:next w:val="Normal"/>
    <w:uiPriority w:val="29"/>
    <w:qFormat/>
    <w:pPr>
      <w:spacing w:before="160"/>
      <w:jc w:val="center"/>
    </w:pPr>
    <w:rPr>
      <w:i/>
      <w:color w:val="404040"/>
    </w:rPr>
  </w:style>
  <w:style w:type="paragraph" w:styleId="IntenseQuote">
    <w:name w:val="Intense Quote"/>
    <w:basedOn w:val="Normal"/>
    <w:next w:val="Normal"/>
    <w:uiPriority w:val="30"/>
    <w:qFormat/>
    <w:pPr>
      <w:pBdr>
        <w:top w:val="single" w:sz="4" w:space="10" w:color="0F4761"/>
        <w:bottom w:val="single" w:sz="4" w:space="10" w:color="0F4761"/>
      </w:pBdr>
      <w:spacing w:before="360" w:after="360"/>
      <w:ind w:left="864" w:right="864"/>
      <w:jc w:val="center"/>
    </w:pPr>
    <w:rPr>
      <w:i/>
      <w:color w:val="0F4761"/>
    </w:rPr>
  </w:style>
  <w:style w:type="character" w:styleId="SubtleReference">
    <w:name w:val="Subtle Reference"/>
    <w:basedOn w:val="DefaultParagraphFont"/>
    <w:uiPriority w:val="31"/>
    <w:qFormat/>
    <w:rPr>
      <w:smallCaps/>
      <w:color w:val="5A5A5A"/>
    </w:rPr>
  </w:style>
  <w:style w:type="character" w:styleId="IntenseReference">
    <w:name w:val="Intense Reference"/>
    <w:basedOn w:val="DefaultParagraphFont"/>
    <w:uiPriority w:val="32"/>
    <w:qFormat/>
    <w:rPr>
      <w:b/>
      <w:smallCaps/>
      <w:color w:val="0F4761"/>
      <w:spacing w:val="5"/>
    </w:rPr>
  </w:style>
  <w:style w:type="character" w:styleId="BookTitle">
    <w:name w:val="Book Title"/>
    <w:basedOn w:val="DefaultParagraphFont"/>
    <w:uiPriority w:val="33"/>
    <w:qFormat/>
    <w:rPr>
      <w:b/>
      <w:i/>
      <w:spacing w:val="5"/>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rPr>
      <w:color w:val="467886"/>
      <w:u w:val="single"/>
    </w:rPr>
  </w:style>
  <w:style w:type="paragraph" w:styleId="Caption">
    <w:name w:val="caption"/>
    <w:basedOn w:val="Normal"/>
    <w:next w:val="Normal"/>
    <w:uiPriority w:val="35"/>
    <w:pPr>
      <w:spacing w:after="200" w:line="240" w:lineRule="auto"/>
    </w:pPr>
    <w:rPr>
      <w:i/>
      <w:color w:val="0E2841"/>
      <w:sz w:val="18"/>
    </w:rPr>
  </w:style>
  <w:style w:type="paragraph" w:styleId="Header">
    <w:name w:val="header"/>
    <w:basedOn w:val="Normal"/>
    <w:uiPriority w:val="99"/>
    <w:pPr>
      <w:tabs>
        <w:tab w:val="center" w:pos="4680"/>
        <w:tab w:val="right" w:pos="9360"/>
      </w:tabs>
      <w:spacing w:after="0" w:line="240" w:lineRule="auto"/>
    </w:pPr>
  </w:style>
  <w:style w:type="paragraph" w:styleId="Footer">
    <w:name w:val="footer"/>
    <w:basedOn w:val="Normal"/>
    <w:uiPriority w:val="99"/>
    <w:pPr>
      <w:tabs>
        <w:tab w:val="center" w:pos="4680"/>
        <w:tab w:val="right" w:pos="9360"/>
      </w:tabs>
      <w:spacing w:after="0" w:line="240" w:lineRule="auto"/>
    </w:pPr>
  </w:style>
  <w:style w:type="paragraph" w:styleId="FootnoteText">
    <w:name w:val="footnote text"/>
    <w:basedOn w:val="Normal"/>
    <w:uiPriority w:val="99"/>
    <w:pPr>
      <w:spacing w:after="0" w:line="240" w:lineRule="auto"/>
    </w:pPr>
    <w:rPr>
      <w:sz w:val="20"/>
    </w:rPr>
  </w:style>
  <w:style w:type="character" w:styleId="FootnoteReference">
    <w:name w:val="footnote reference"/>
    <w:basedOn w:val="DefaultParagraphFont"/>
    <w:uiPriority w:val="99"/>
    <w:rPr>
      <w:vertAlign w:val="superscript"/>
    </w:rPr>
  </w:style>
  <w:style w:type="paragraph" w:styleId="EndnoteText">
    <w:name w:val="endnote text"/>
    <w:basedOn w:val="Normal"/>
    <w:uiPriority w:val="99"/>
    <w:pPr>
      <w:spacing w:after="0" w:line="240" w:lineRule="auto"/>
    </w:pPr>
    <w:rPr>
      <w:sz w:val="20"/>
    </w:rPr>
  </w:style>
  <w:style w:type="character" w:styleId="EndnoteReference">
    <w:name w:val="endnote reference"/>
    <w:basedOn w:val="DefaultParagraphFont"/>
    <w:uiPriority w:val="99"/>
    <w:rPr>
      <w:vertAlign w:val="superscript"/>
    </w:rPr>
  </w:style>
  <w:style w:type="paragraph" w:styleId="TOCHeading">
    <w:name w:val="TOC Heading"/>
    <w:basedOn w:val="Heading1"/>
    <w:next w:val="Normal"/>
    <w:uiPriority w:val="39"/>
    <w:pPr>
      <w:spacing w:before="240"/>
      <w:outlineLvl w:val="9"/>
    </w:pPr>
  </w:style>
  <w:style w:type="paragraph" w:styleId="TOC1">
    <w:name w:val="toc 1"/>
    <w:basedOn w:val="Normal"/>
    <w:next w:val="Normal"/>
    <w:uiPriority w:val="39"/>
    <w:pPr>
      <w:spacing w:after="100"/>
      <w:ind w:left="0"/>
    </w:pPr>
  </w:style>
  <w:style w:type="paragraph" w:styleId="TOC2">
    <w:name w:val="toc 2"/>
    <w:basedOn w:val="Normal"/>
    <w:next w:val="Normal"/>
    <w:uiPriority w:val="39"/>
    <w:pPr>
      <w:spacing w:after="100"/>
      <w:ind w:left="240"/>
    </w:pPr>
  </w:style>
  <w:style w:type="paragraph" w:styleId="TOC3">
    <w:name w:val="toc 3"/>
    <w:basedOn w:val="Normal"/>
    <w:next w:val="Normal"/>
    <w:uiPriority w:val="39"/>
    <w:pPr>
      <w:spacing w:after="100"/>
      <w:ind w:left="480"/>
    </w:pPr>
  </w:style>
  <w:style w:type="paragraph" w:styleId="TOC4">
    <w:name w:val="toc 4"/>
    <w:basedOn w:val="Normal"/>
    <w:next w:val="Normal"/>
    <w:uiPriority w:val="39"/>
    <w:pPr>
      <w:spacing w:after="100"/>
      <w:ind w:left="720"/>
    </w:pPr>
  </w:style>
  <w:style w:type="paragraph" w:styleId="TOC5">
    <w:name w:val="toc 5"/>
    <w:basedOn w:val="Normal"/>
    <w:next w:val="Normal"/>
    <w:uiPriority w:val="39"/>
    <w:pPr>
      <w:spacing w:after="100"/>
      <w:ind w:left="960"/>
    </w:pPr>
  </w:style>
  <w:style w:type="paragraph" w:styleId="TOC6">
    <w:name w:val="toc 6"/>
    <w:basedOn w:val="Normal"/>
    <w:next w:val="Normal"/>
    <w:uiPriority w:val="39"/>
    <w:pPr>
      <w:spacing w:after="100"/>
      <w:ind w:left="1200"/>
    </w:pPr>
  </w:style>
  <w:style w:type="paragraph" w:styleId="TOC7">
    <w:name w:val="toc 7"/>
    <w:basedOn w:val="Normal"/>
    <w:next w:val="Normal"/>
    <w:uiPriority w:val="39"/>
    <w:pPr>
      <w:spacing w:after="100"/>
      <w:ind w:left="1440"/>
    </w:pPr>
  </w:style>
  <w:style w:type="paragraph" w:styleId="TOC8">
    <w:name w:val="toc 8"/>
    <w:basedOn w:val="Normal"/>
    <w:next w:val="Normal"/>
    <w:uiPriority w:val="39"/>
    <w:pPr>
      <w:spacing w:after="100"/>
      <w:ind w:left="1680"/>
    </w:pPr>
  </w:style>
  <w:style w:type="paragraph" w:styleId="TOC9">
    <w:name w:val="toc 9"/>
    <w:basedOn w:val="Normal"/>
    <w:next w:val="Normal"/>
    <w:uiPriority w:val="39"/>
    <w:pPr>
      <w:spacing w:after="100"/>
      <w:ind w:left="1920"/>
    </w:pPr>
  </w:style>
  <w:style w:type="table" w:styleId="TableGrid">
    <w:name w:val="Table 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60"/>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band1Horz">
      <w:tcPr>
        <w:shd w:val="clear" w:color="auto" w:fill="F2F2F2"/>
      </w:tcPr>
    </w:tblStylePr>
    <w:tblStylePr w:type="firstCol">
      <w:rPr>
        <w:b/>
      </w:rPr>
    </w:tblStylePr>
    <w:tblStylePr w:type="firstRow">
      <w:rPr>
        <w:b/>
      </w:rPr>
    </w:tblStylePr>
  </w:style>
  <w:style w:type="table" w:styleId="GridTable1Light">
    <w:name w:val="Grid Table 1 Light"/>
    <w:basedOn w:val="TableNormal"/>
    <w:uiPriority w:val="60"/>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Col">
      <w:rPr>
        <w:b/>
      </w:rPr>
    </w:tblStylePr>
    <w:tblStylePr w:type="firstRow">
      <w:rPr>
        <w:b/>
      </w:rPr>
    </w:tblStylePr>
  </w:style>
  <w:style w:type="table" w:styleId="GridTable4AccentBlue">
    <w:name w:val="Grid Table 4 – Blue"/>
    <w:basedOn w:val="TableNormal"/>
    <w:uiPriority w:val="60"/>
    <w:pPr>
      <w:spacing w:after="0" w:line="240" w:lineRule="auto"/>
    </w:pPr>
    <w:tblPr>
      <w:tblStyleRowBandSize w:val="1"/>
      <w:tblStyleColBandSize w:val="1"/>
      <w:tblBorders>
        <w:top w:val="single" w:sz="4" w:space="0" w:color="C1E4F5"/>
        <w:left w:val="single" w:sz="4" w:space="0" w:color="C1E4F5"/>
        <w:bottom w:val="single" w:sz="4" w:space="0" w:color="C1E4F5"/>
        <w:right w:val="single" w:sz="4" w:space="0" w:color="C1E4F5"/>
        <w:insideH w:val="single" w:sz="4" w:space="0" w:color="C1E4F5"/>
        <w:insideV w:val="single" w:sz="4" w:space="0" w:color="C1E4F5"/>
      </w:tblBorders>
    </w:tblPr>
    <w:tblStylePr w:type="band1Horz">
      <w:tcPr>
        <w:shd w:val="clear" w:color="auto" w:fill="C1E4F5"/>
      </w:tcPr>
    </w:tblStylePr>
    <w:tblStylePr w:type="firstCol">
      <w:rPr>
        <w:b/>
      </w:rPr>
    </w:tblStylePr>
    <w:tblStylePr w:type="firstRow">
      <w:rPr>
        <w:b/>
        <w:color w:val="FFFFFF"/>
      </w:rPr>
      <w:tcPr>
        <w:shd w:val="clear" w:color="auto" w:fill="156082"/>
      </w:tcPr>
    </w:tblStylePr>
  </w:style>
  <w:style w:type="table" w:styleId="ListTable3AccentBlue">
    <w:name w:val="List Table 3 – Blue"/>
    <w:basedOn w:val="TableNormal"/>
    <w:uiPriority w:val="60"/>
    <w:pPr>
      <w:spacing w:after="0" w:line="240" w:lineRule="auto"/>
    </w:pPr>
    <w:tblPr>
      <w:tblStyleRowBandSize w:val="1"/>
      <w:tblStyleColBandSize w:val="1"/>
      <w:tblBorders>
        <w:top w:val="single" w:sz="4" w:space="0" w:color="156082"/>
        <w:left w:val="single" w:sz="4" w:space="0" w:color="156082"/>
        <w:bottom w:val="single" w:sz="4" w:space="0" w:color="156082"/>
        <w:right w:val="single" w:sz="4" w:space="0" w:color="156082"/>
      </w:tblBorders>
    </w:tblPr>
    <w:tblStylePr w:type="firstRow">
      <w:rPr>
        <w:b/>
        <w:color w:val="FFFFFF"/>
      </w:rPr>
      <w:tcPr>
        <w:shd w:val="clear" w:color="auto" w:fill="156082"/>
      </w:tcPr>
    </w:tblStylePr>
    <w:tblStylePr w:type="lastRow">
      <w:tcPr>
        <w:tcBorders>
          <w:top w:val="single" w:sz="4" w:space="0" w:color="156082"/>
        </w:tcBorders>
      </w:tcPr>
    </w:tblStylePr>
  </w:style>
  <w:style w:type="table" w:styleId="GridTable4AccentOrange">
    <w:name w:val="Grid Table 4 – Orange"/>
    <w:basedOn w:val="TableNormal"/>
    <w:uiPriority w:val="60"/>
    <w:pPr>
      <w:spacing w:after="0" w:line="240" w:lineRule="auto"/>
    </w:pPr>
    <w:tblPr>
      <w:tblStyleRowBandSize w:val="1"/>
      <w:tblStyleColBandSize w:val="1"/>
      <w:tblBorders>
        <w:top w:val="single" w:sz="4" w:space="0" w:color="FBE2D5"/>
        <w:left w:val="single" w:sz="4" w:space="0" w:color="FBE2D5"/>
        <w:bottom w:val="single" w:sz="4" w:space="0" w:color="FBE2D5"/>
        <w:right w:val="single" w:sz="4" w:space="0" w:color="FBE2D5"/>
        <w:insideH w:val="single" w:sz="4" w:space="0" w:color="FBE2D5"/>
        <w:insideV w:val="single" w:sz="4" w:space="0" w:color="FBE2D5"/>
      </w:tblBorders>
    </w:tblPr>
    <w:tblStylePr w:type="band1Horz">
      <w:tcPr>
        <w:shd w:val="clear" w:color="auto" w:fill="FBE2D5"/>
      </w:tcPr>
    </w:tblStylePr>
    <w:tblStylePr w:type="firstCol">
      <w:rPr>
        <w:b/>
      </w:rPr>
    </w:tblStylePr>
    <w:tblStylePr w:type="firstRow">
      <w:rPr>
        <w:b/>
        <w:color w:val="FFFFFF"/>
      </w:rPr>
      <w:tcPr>
        <w:shd w:val="clear" w:color="auto" w:fill="E97132"/>
      </w:tcPr>
    </w:tblStylePr>
  </w:style>
  <w:style w:type="table" w:styleId="ListTable3AccentOrange">
    <w:name w:val="List Table 3 – Orange"/>
    <w:basedOn w:val="TableNormal"/>
    <w:uiPriority w:val="60"/>
    <w:pPr>
      <w:spacing w:after="0" w:line="240" w:lineRule="auto"/>
    </w:pPr>
    <w:tblPr>
      <w:tblStyleRowBandSize w:val="1"/>
      <w:tblStyleColBandSize w:val="1"/>
      <w:tblBorders>
        <w:top w:val="single" w:sz="4" w:space="0" w:color="E97132"/>
        <w:left w:val="single" w:sz="4" w:space="0" w:color="E97132"/>
        <w:bottom w:val="single" w:sz="4" w:space="0" w:color="E97132"/>
        <w:right w:val="single" w:sz="4" w:space="0" w:color="E97132"/>
      </w:tblBorders>
    </w:tblPr>
    <w:tblStylePr w:type="firstRow">
      <w:rPr>
        <w:b/>
        <w:color w:val="FFFFFF"/>
      </w:rPr>
      <w:tcPr>
        <w:shd w:val="clear" w:color="auto" w:fill="E97132"/>
      </w:tcPr>
    </w:tblStylePr>
    <w:tblStylePr w:type="lastRow">
      <w:tcPr>
        <w:tcBorders>
          <w:top w:val="single" w:sz="4" w:space="0" w:color="E97132"/>
        </w:tcBorders>
      </w:tcPr>
    </w:tblStylePr>
  </w:style>
  <w:style w:type="table" w:styleId="GridTable4AccentGreen">
    <w:name w:val="Grid Table 4 – Green"/>
    <w:basedOn w:val="TableNormal"/>
    <w:uiPriority w:val="60"/>
    <w:pPr>
      <w:spacing w:after="0" w:line="240" w:lineRule="auto"/>
    </w:pPr>
    <w:tblPr>
      <w:tblStyleRowBandSize w:val="1"/>
      <w:tblStyleColBandSize w:val="1"/>
      <w:tblBorders>
        <w:top w:val="single" w:sz="4" w:space="0" w:color="C1F0C8"/>
        <w:left w:val="single" w:sz="4" w:space="0" w:color="C1F0C8"/>
        <w:bottom w:val="single" w:sz="4" w:space="0" w:color="C1F0C8"/>
        <w:right w:val="single" w:sz="4" w:space="0" w:color="C1F0C8"/>
        <w:insideH w:val="single" w:sz="4" w:space="0" w:color="C1F0C8"/>
        <w:insideV w:val="single" w:sz="4" w:space="0" w:color="C1F0C8"/>
      </w:tblBorders>
    </w:tblPr>
    <w:tblStylePr w:type="band1Horz">
      <w:tcPr>
        <w:shd w:val="clear" w:color="auto" w:fill="C1F0C8"/>
      </w:tcPr>
    </w:tblStylePr>
    <w:tblStylePr w:type="firstCol">
      <w:rPr>
        <w:b/>
      </w:rPr>
    </w:tblStylePr>
    <w:tblStylePr w:type="firstRow">
      <w:rPr>
        <w:b/>
        <w:color w:val="FFFFFF"/>
      </w:rPr>
      <w:tcPr>
        <w:shd w:val="clear" w:color="auto" w:fill="196B24"/>
      </w:tcPr>
    </w:tblStylePr>
  </w:style>
  <w:style w:type="table" w:styleId="ListTable3AccentGreen">
    <w:name w:val="List Table 3 – Green"/>
    <w:basedOn w:val="TableNormal"/>
    <w:uiPriority w:val="60"/>
    <w:pPr>
      <w:spacing w:after="0" w:line="240" w:lineRule="auto"/>
    </w:pPr>
    <w:tblPr>
      <w:tblStyleRowBandSize w:val="1"/>
      <w:tblStyleColBandSize w:val="1"/>
      <w:tblBorders>
        <w:top w:val="single" w:sz="4" w:space="0" w:color="196B24"/>
        <w:left w:val="single" w:sz="4" w:space="0" w:color="196B24"/>
        <w:bottom w:val="single" w:sz="4" w:space="0" w:color="196B24"/>
        <w:right w:val="single" w:sz="4" w:space="0" w:color="196B24"/>
      </w:tblBorders>
    </w:tblPr>
    <w:tblStylePr w:type="firstRow">
      <w:rPr>
        <w:b/>
        <w:color w:val="FFFFFF"/>
      </w:rPr>
      <w:tcPr>
        <w:shd w:val="clear" w:color="auto" w:fill="196B24"/>
      </w:tcPr>
    </w:tblStylePr>
    <w:tblStylePr w:type="lastRow">
      <w:tcPr>
        <w:tcBorders>
          <w:top w:val="single" w:sz="4" w:space="0" w:color="196B24"/>
        </w:tcBorders>
      </w:tcPr>
    </w:tblStylePr>
  </w:style>
  <w:style w:type="table" w:styleId="GridTable4AccentPurple">
    <w:name w:val="Grid Table 4 – Purple"/>
    <w:basedOn w:val="TableNormal"/>
    <w:uiPriority w:val="60"/>
    <w:pPr>
      <w:spacing w:after="0" w:line="240" w:lineRule="auto"/>
    </w:pPr>
    <w:tblPr>
      <w:tblStyleRowBandSize w:val="1"/>
      <w:tblStyleColBandSize w:val="1"/>
      <w:tblBorders>
        <w:top w:val="single" w:sz="4" w:space="0" w:color="E5D2EE"/>
        <w:left w:val="single" w:sz="4" w:space="0" w:color="E5D2EE"/>
        <w:bottom w:val="single" w:sz="4" w:space="0" w:color="E5D2EE"/>
        <w:right w:val="single" w:sz="4" w:space="0" w:color="E5D2EE"/>
        <w:insideH w:val="single" w:sz="4" w:space="0" w:color="E5D2EE"/>
        <w:insideV w:val="single" w:sz="4" w:space="0" w:color="E5D2EE"/>
      </w:tblBorders>
    </w:tblPr>
    <w:tblStylePr w:type="band1Horz">
      <w:tcPr>
        <w:shd w:val="clear" w:color="auto" w:fill="E5D2EE"/>
      </w:tcPr>
    </w:tblStylePr>
    <w:tblStylePr w:type="firstCol">
      <w:rPr>
        <w:b/>
      </w:rPr>
    </w:tblStylePr>
    <w:tblStylePr w:type="firstRow">
      <w:rPr>
        <w:b/>
        <w:color w:val="FFFFFF"/>
      </w:rPr>
      <w:tcPr>
        <w:shd w:val="clear" w:color="auto" w:fill="712E8D"/>
      </w:tcPr>
    </w:tblStylePr>
  </w:style>
  <w:style w:type="table" w:styleId="ListTable3AccentPurple">
    <w:name w:val="List Table 3 – Purple"/>
    <w:basedOn w:val="TableNormal"/>
    <w:uiPriority w:val="60"/>
    <w:pPr>
      <w:spacing w:after="0" w:line="240" w:lineRule="auto"/>
    </w:pPr>
    <w:tblPr>
      <w:tblStyleRowBandSize w:val="1"/>
      <w:tblStyleColBandSize w:val="1"/>
      <w:tblBorders>
        <w:top w:val="single" w:sz="4" w:space="0" w:color="712E8D"/>
        <w:left w:val="single" w:sz="4" w:space="0" w:color="712E8D"/>
        <w:bottom w:val="single" w:sz="4" w:space="0" w:color="712E8D"/>
        <w:right w:val="single" w:sz="4" w:space="0" w:color="712E8D"/>
      </w:tblBorders>
    </w:tblPr>
    <w:tblStylePr w:type="firstRow">
      <w:rPr>
        <w:b/>
        <w:color w:val="FFFFFF"/>
      </w:rPr>
      <w:tcPr>
        <w:shd w:val="clear" w:color="auto" w:fill="712E8D"/>
      </w:tcPr>
    </w:tblStylePr>
    <w:tblStylePr w:type="lastRow">
      <w:tcPr>
        <w:tcBorders>
          <w:top w:val="single" w:sz="4" w:space="0" w:color="712E8D"/>
        </w:tc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The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Theme">
      <a:majorFont>
        <a:latin typeface="Cambria"/>
        <a:ea typeface=""/>
        <a:cs typeface=""/>
      </a:majorFont>
      <a:minorFont>
        <a:latin typeface="Calibri"/>
        <a:ea typeface=""/>
        <a:cs typeface=""/>
      </a:minorFont>
    </a:fontScheme>
    <a:fmtScheme name="Office Theme">
      <a:fillStyleLst>
        <a:solidFill>
          <a:schemeClr val="phClr"/>
        </a:solidFill>
        <a:solidFill>
          <a:schemeClr val="phClr"/>
        </a:solidFill>
        <a:solidFill>
          <a:schemeClr val="phClr"/>
        </a:soli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WordCraft</Application>
  <Words>1115</Words>
  <Paragraphs>29</Paragraphs>
  <DocSecurity>0</DocSecurity>
  <Template>Normal.dotm</Template>
  <ScaleCrop>false</ScaleCrop>
  <Company/>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Owner-H170</dc:creator>
  <cp:lastModifiedBy>WordCraft User</cp:lastModifiedBy>
  <cp:revision>4</cp:revision>
  <dcterms:created xsi:type="dcterms:W3CDTF">2026-10-23T22:59:00Z</dcterms:created>
  <dcterms:modified xsi:type="dcterms:W3CDTF">2026-10-29T23:35:19Z</dcterms:modified>
</cp:coreProperties>
</file>