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body>
    <w:p>
      <w:pPr>
        <w:rPr>
          <w:rFonts w:ascii="Calibri" w:hAnsi="Calibri" w:cs="Calibri"/>
          <w:color w:val="000000"/>
        </w:rPr>
      </w:pPr>
      <w:r>
        <w:rPr>
          <w:rFonts w:ascii="Calibri" w:hAnsi="Calibri" w:cs="Calibri"/>
          <w:b/>
          <w:color w:val="000000"/>
          <w:sz w:val="24"/>
        </w:rPr>
        <w:t xml:space="preserve">(La version française suit le texte anglais. Voir ci-dessous) </w:t>
      </w:r>
      <w:r>
        <w:rPr>
          <w:rFonts w:ascii="Calibri" w:hAnsi="Calibri" w:cs="Calibri"/>
          <w:b/>
          <w:color w:val="000000"/>
          <w:sz w:val="24"/>
          <w:u w:val="single"/>
        </w:rPr>
        <w:br/>
        <w:br/>
      </w:r>
      <w:r>
        <w:rPr>
          <w:rFonts w:ascii="Calibri" w:hAnsi="Calibri" w:cs="Calibri"/>
          <w:color w:val="000000"/>
          <w:sz w:val="24"/>
        </w:rPr>
        <w:t xml:space="preserve">Dear Member of Parliament [Last Name],</w:t>
      </w:r>
    </w:p>
    <w:p>
      <w:pPr>
        <w:rPr>
          <w:rFonts w:ascii="Calibri" w:hAnsi="Calibri" w:cs="Calibri"/>
          <w:color w:val="000000"/>
        </w:rPr>
      </w:pPr>
      <w:r>
        <w:rPr>
          <w:rFonts w:ascii="Calibri" w:hAnsi="Calibri" w:cs="Calibri"/>
          <w:b/>
          <w:color w:val="000000"/>
          <w:u w:val="single"/>
        </w:rPr>
        <w:t xml:space="preserve">Re: Ensuring my Natural Health Products are not over-regulated – Pass Bill C -224 in its original form into law</w:t>
      </w:r>
    </w:p>
    <w:p>
      <w:pPr>
        <w:rPr>
          <w:rFonts w:ascii="Calibri" w:hAnsi="Calibri" w:cs="Calibri"/>
          <w:color w:val="000000"/>
          <w:sz w:val="24"/>
          <w:szCs w:val="24"/>
        </w:rPr>
      </w:pPr>
      <w:r>
        <w:rPr>
          <w:rFonts w:ascii="Calibri" w:hAnsi="Calibri" w:cs="Calibri"/>
          <w:b/>
          <w:i/>
          <w:color w:val="000000"/>
        </w:rPr>
        <w:t xml:space="preserve">I want you to do all you can to ensure Bill C-224 is passed into law.</w:t>
      </w:r>
      <w:r>
        <w:rPr>
          <w:rFonts w:ascii="Calibri" w:hAnsi="Calibri" w:cs="Calibri"/>
          <w:color w:val="000000"/>
        </w:rPr>
        <w:t xml:space="preserve"> </w:t>
      </w:r>
      <w:r>
        <w:rPr>
          <w:rFonts w:ascii="Calibri" w:hAnsi="Calibri" w:cs="Calibri"/>
          <w:color w:val="000000"/>
          <w:sz w:val="24"/>
          <w:szCs w:val="24"/>
        </w:rPr>
        <w:t xml:space="preserve">Liberals in the Standing Committee on Health changed Bill C-224. I want you to restore Bill C-224 to its original wording at the Report stage. </w:t>
      </w:r>
    </w:p>
    <w:p>
      <w:pPr>
        <w:rPr>
          <w:rFonts w:ascii="Calibri" w:hAnsi="Calibri" w:cs="Calibri"/>
          <w:color w:val="000000"/>
        </w:rPr>
      </w:pPr>
      <w:r>
        <w:rPr>
          <w:rFonts w:ascii="Calibri" w:hAnsi="Calibri" w:cs="Calibri"/>
          <w:color w:val="000000"/>
        </w:rPr>
        <w:t xml:space="preserve">Natural health products (NHPs) include our vital nutrients and our natural remedies. Recently our NHPs were moved into the class of drugs reserved for dangerous chemical drugs. This is the </w:t>
      </w:r>
      <w:r>
        <w:rPr>
          <w:rFonts w:ascii="Calibri" w:hAnsi="Calibri" w:cs="Calibri"/>
          <w:i/>
          <w:color w:val="000000"/>
        </w:rPr>
        <w:t xml:space="preserve">therapeutic product</w:t>
      </w:r>
      <w:r>
        <w:rPr>
          <w:rFonts w:ascii="Calibri" w:hAnsi="Calibri" w:cs="Calibri"/>
          <w:color w:val="000000"/>
        </w:rPr>
        <w:t xml:space="preserve"> category of drugs. Vital nutrients such as magnesium and vitamin D are essential for health. They should be promoted. They should not be put into the restrictive </w:t>
      </w:r>
      <w:r>
        <w:rPr>
          <w:rFonts w:ascii="Calibri" w:hAnsi="Calibri" w:cs="Calibri"/>
          <w:i/>
          <w:color w:val="000000"/>
        </w:rPr>
        <w:t xml:space="preserve">therapeutic product</w:t>
      </w:r>
      <w:r>
        <w:rPr>
          <w:rFonts w:ascii="Calibri" w:hAnsi="Calibri" w:cs="Calibri"/>
          <w:color w:val="000000"/>
        </w:rPr>
        <w:t xml:space="preserve"> category</w:t>
      </w:r>
      <w:r>
        <w:rPr>
          <w:rFonts w:ascii="Calibri" w:hAnsi="Calibri" w:cs="Calibri"/>
          <w:b/>
          <w:i/>
          <w:color w:val="000000"/>
        </w:rPr>
        <w:t xml:space="preserve">. This is morally wrong</w:t>
      </w:r>
      <w:r>
        <w:rPr>
          <w:rFonts w:ascii="Calibri" w:hAnsi="Calibri" w:cs="Calibri"/>
          <w:color w:val="000000"/>
        </w:rPr>
        <w:t xml:space="preserve">. </w:t>
      </w:r>
    </w:p>
    <w:p>
      <w:pPr>
        <w:rPr>
          <w:rFonts w:ascii="Calibri" w:hAnsi="Calibri" w:cs="Calibri"/>
          <w:color w:val="000000"/>
        </w:rPr>
      </w:pPr>
      <w:r>
        <w:rPr>
          <w:rFonts w:ascii="Calibri" w:hAnsi="Calibri" w:cs="Calibri"/>
          <w:color w:val="000000"/>
        </w:rPr>
        <w:t xml:space="preserve">The </w:t>
      </w:r>
      <w:r>
        <w:rPr>
          <w:rFonts w:ascii="Calibri" w:hAnsi="Calibri" w:cs="Calibri"/>
          <w:i/>
          <w:color w:val="000000"/>
        </w:rPr>
        <w:t xml:space="preserve">therapeutic product</w:t>
      </w:r>
      <w:r>
        <w:rPr>
          <w:rFonts w:ascii="Calibri" w:hAnsi="Calibri" w:cs="Calibri"/>
          <w:color w:val="000000"/>
        </w:rPr>
        <w:t xml:space="preserve"> category of drugs has the following sordid history:</w:t>
      </w:r>
    </w:p>
    <w:p>
      <w:pPr>
        <w:pStyle w:val="ListParagraph"/>
        <w:numPr>
          <w:ilvl w:val="0"/>
          <w:numId w:val="1"/>
        </w:numPr>
        <w:rPr>
          <w:rFonts w:ascii="Calibri" w:hAnsi="Calibri" w:cs="Calibri"/>
          <w:color w:val="000000"/>
        </w:rPr>
      </w:pPr>
      <w:r>
        <w:rPr>
          <w:rFonts w:ascii="Calibri" w:hAnsi="Calibri" w:cs="Calibri"/>
          <w:color w:val="000000"/>
        </w:rPr>
        <w:t xml:space="preserve">In February 2008, Assistant Deputy Minister Meena Ballantyne shared that the Food and Drugs Act was going to be </w:t>
      </w:r>
      <w:r>
        <w:rPr>
          <w:rFonts w:ascii="Calibri" w:hAnsi="Calibri" w:cs="Calibri"/>
          <w:b/>
          <w:i/>
          <w:color w:val="000000"/>
        </w:rPr>
        <w:t xml:space="preserve">amended for the purpose of further regulation of Natural Health Products</w:t>
      </w:r>
      <w:r>
        <w:rPr>
          <w:rFonts w:ascii="Calibri" w:hAnsi="Calibri" w:cs="Calibri"/>
          <w:color w:val="000000"/>
        </w:rPr>
        <w:t xml:space="preserve"> (put in link to Meena Ballantyne);</w:t>
      </w:r>
    </w:p>
    <w:p>
      <w:pPr>
        <w:pStyle w:val="ListParagraph"/>
        <w:numPr>
          <w:ilvl w:val="0"/>
          <w:numId w:val="1"/>
        </w:numPr>
        <w:rPr>
          <w:rFonts w:ascii="Calibri" w:hAnsi="Calibri" w:cs="Calibri"/>
          <w:color w:val="000000"/>
        </w:rPr>
      </w:pPr>
      <w:r>
        <w:rPr>
          <w:rFonts w:ascii="Calibri" w:hAnsi="Calibri" w:cs="Calibri"/>
          <w:color w:val="000000"/>
        </w:rPr>
        <w:t xml:space="preserve">In March2008 the amendments were introduced in Bill C-51.  Bill C-51 introduced for the first time what are now the </w:t>
      </w:r>
      <w:r>
        <w:rPr>
          <w:rFonts w:ascii="Calibri" w:hAnsi="Calibri" w:cs="Calibri"/>
          <w:i/>
          <w:color w:val="000000"/>
        </w:rPr>
        <w:t xml:space="preserve">therapeutic product</w:t>
      </w:r>
      <w:r>
        <w:rPr>
          <w:rFonts w:ascii="Calibri" w:hAnsi="Calibri" w:cs="Calibri"/>
          <w:color w:val="000000"/>
        </w:rPr>
        <w:t xml:space="preserve"> provisions of the </w:t>
      </w:r>
      <w:r>
        <w:rPr>
          <w:rFonts w:ascii="Calibri" w:hAnsi="Calibri" w:cs="Calibri"/>
          <w:i/>
          <w:color w:val="000000"/>
        </w:rPr>
        <w:t xml:space="preserve">Food and Drugs Act</w:t>
      </w:r>
      <w:r>
        <w:rPr>
          <w:rFonts w:ascii="Calibri" w:hAnsi="Calibri" w:cs="Calibri"/>
          <w:color w:val="000000"/>
        </w:rPr>
        <w:t xml:space="preserve"> (increased fines and new Health Canada powers </w:t>
      </w:r>
      <w:r>
        <w:rPr>
          <w:rFonts w:ascii="Calibri" w:hAnsi="Calibri" w:cs="Calibri"/>
          <w:i/>
          <w:color w:val="000000"/>
        </w:rPr>
        <w:t xml:space="preserve">over therapeutic products</w:t>
      </w:r>
      <w:r>
        <w:rPr>
          <w:rFonts w:ascii="Calibri" w:hAnsi="Calibri" w:cs="Calibri"/>
          <w:color w:val="000000"/>
        </w:rPr>
        <w:t xml:space="preserve">);</w:t>
      </w:r>
    </w:p>
    <w:p>
      <w:pPr>
        <w:pStyle w:val="ListParagraph"/>
        <w:numPr>
          <w:ilvl w:val="0"/>
          <w:numId w:val="1"/>
        </w:numPr>
        <w:rPr>
          <w:rFonts w:ascii="Calibri" w:hAnsi="Calibri" w:cs="Calibri"/>
          <w:i/>
          <w:color w:val="000000"/>
        </w:rPr>
      </w:pPr>
      <w:r>
        <w:rPr>
          <w:rFonts w:ascii="Calibri" w:hAnsi="Calibri" w:cs="Calibri"/>
          <w:color w:val="000000"/>
        </w:rPr>
        <w:t xml:space="preserve">The Citizens of Canada banded together to defeat Bill C-51 </w:t>
      </w:r>
      <w:r>
        <w:rPr>
          <w:rFonts w:ascii="Calibri" w:hAnsi="Calibri" w:cs="Calibri"/>
          <w:b/>
          <w:i/>
          <w:color w:val="000000"/>
        </w:rPr>
        <w:t xml:space="preserve">making it clear that they did not want their natural health products subject to the therapeutic product provisions</w:t>
      </w:r>
      <w:r>
        <w:rPr>
          <w:rFonts w:ascii="Calibri" w:hAnsi="Calibri" w:cs="Calibri"/>
          <w:i/>
          <w:color w:val="000000"/>
        </w:rPr>
        <w:t xml:space="preserve">; </w:t>
      </w:r>
    </w:p>
    <w:p>
      <w:pPr>
        <w:pStyle w:val="ListParagraph"/>
        <w:numPr>
          <w:ilvl w:val="0"/>
          <w:numId w:val="1"/>
        </w:numPr>
        <w:rPr>
          <w:rFonts w:ascii="Calibri" w:hAnsi="Calibri" w:cs="Calibri"/>
          <w:i/>
          <w:color w:val="000000"/>
        </w:rPr>
      </w:pPr>
      <w:r>
        <w:rPr>
          <w:rFonts w:ascii="Calibri" w:hAnsi="Calibri" w:cs="Calibri"/>
          <w:color w:val="000000"/>
        </w:rPr>
        <w:t xml:space="preserve">In 2014 the therapeutic product provisions were re-introduced in “Vanessa’s Law” (Bill C-17).  Canadians did not rebel against Vanessa’s Law because the </w:t>
      </w:r>
      <w:r>
        <w:rPr>
          <w:rFonts w:ascii="Calibri" w:hAnsi="Calibri" w:cs="Calibri"/>
          <w:i/>
          <w:color w:val="000000"/>
        </w:rPr>
        <w:t xml:space="preserve">therapeutic product</w:t>
      </w:r>
      <w:r>
        <w:rPr>
          <w:rFonts w:ascii="Calibri" w:hAnsi="Calibri" w:cs="Calibri"/>
          <w:color w:val="000000"/>
        </w:rPr>
        <w:t xml:space="preserve"> provisions in Vanessa’s Law did not apply to NHPs;</w:t>
      </w:r>
    </w:p>
    <w:p>
      <w:pPr>
        <w:pStyle w:val="ListParagraph"/>
        <w:numPr>
          <w:ilvl w:val="0"/>
          <w:numId w:val="1"/>
        </w:numPr>
        <w:rPr>
          <w:rFonts w:ascii="Calibri" w:hAnsi="Calibri" w:cs="Calibri"/>
          <w:i/>
          <w:color w:val="000000"/>
        </w:rPr>
      </w:pPr>
      <w:r>
        <w:rPr>
          <w:rFonts w:ascii="Calibri" w:hAnsi="Calibri" w:cs="Calibri"/>
          <w:color w:val="000000"/>
        </w:rPr>
        <w:t xml:space="preserve">In the 2023 Budget Bill (Bill C-47), the Food and Drugs Act was amended so that the therapeutic product provisions would apply to NHPs. </w:t>
      </w:r>
      <w:r>
        <w:rPr>
          <w:rFonts w:ascii="Calibri" w:hAnsi="Calibri" w:cs="Calibri"/>
          <w:b/>
          <w:i/>
          <w:color w:val="000000"/>
        </w:rPr>
        <w:t xml:space="preserve">This change was snuck into the Budget Bill because Health Canada knew that Citizens would oppose the amendments. The Budget Bill was passed before citizens had time to react..</w:t>
      </w:r>
    </w:p>
    <w:p>
      <w:pPr>
        <w:rPr>
          <w:rFonts w:ascii="Calibri" w:hAnsi="Calibri" w:cs="Calibri"/>
          <w:color w:val="000000"/>
        </w:rPr>
      </w:pPr>
      <w:r>
        <w:rPr>
          <w:rFonts w:ascii="Calibri" w:hAnsi="Calibri" w:cs="Calibri"/>
          <w:color w:val="000000"/>
        </w:rPr>
        <w:t xml:space="preserve">Bill C-224 reverses the harm done by the 2023 Budget Bill which clearly goes against the wish of Canadians and against my wish.</w:t>
      </w:r>
    </w:p>
    <w:p>
      <w:pPr>
        <w:rPr>
          <w:rFonts w:ascii="Calibri" w:hAnsi="Calibri" w:cs="Calibri"/>
          <w:color w:val="000000"/>
        </w:rPr>
      </w:pPr>
      <w:r>
        <w:rPr>
          <w:rFonts w:ascii="Calibri" w:hAnsi="Calibri" w:cs="Calibri"/>
          <w:color w:val="000000"/>
        </w:rPr>
        <w:t xml:space="preserve">The five million dollar a day fines in </w:t>
      </w:r>
      <w:r>
        <w:rPr>
          <w:rFonts w:ascii="Calibri" w:hAnsi="Calibri" w:cs="Calibri"/>
          <w:i/>
          <w:color w:val="000000"/>
        </w:rPr>
        <w:t xml:space="preserve">the therapeutic product</w:t>
      </w:r>
      <w:r>
        <w:rPr>
          <w:rFonts w:ascii="Calibri" w:hAnsi="Calibri" w:cs="Calibri"/>
          <w:color w:val="000000"/>
        </w:rPr>
        <w:t xml:space="preserve"> provisions may be pocket change for large pharmaceutical companies, but they are excessive for natural health practitioners and natural health companies. They are inappropriate.</w:t>
      </w:r>
    </w:p>
    <w:p>
      <w:pPr>
        <w:rPr>
          <w:rFonts w:ascii="Calibri" w:hAnsi="Calibri" w:cs="Calibri"/>
          <w:color w:val="000000"/>
        </w:rPr>
      </w:pPr>
      <w:r>
        <w:rPr>
          <w:rFonts w:ascii="Calibri" w:hAnsi="Calibri" w:cs="Calibri"/>
          <w:color w:val="000000"/>
        </w:rPr>
        <w:t xml:space="preserve">There is also a double standard going on</w:t>
      </w:r>
      <w:r>
        <w:rPr>
          <w:rFonts w:ascii="Calibri" w:hAnsi="Calibri" w:cs="Calibri"/>
          <w:b/>
          <w:i/>
          <w:color w:val="000000"/>
        </w:rPr>
        <w:t xml:space="preserve">. Did you know that in all of Canadian History no large pharmaceutical company has been charged with even a minor violation under the Food and Drugs Act?</w:t>
      </w:r>
      <w:r>
        <w:rPr>
          <w:rFonts w:ascii="Calibri" w:hAnsi="Calibri" w:cs="Calibri"/>
          <w:color w:val="000000"/>
        </w:rPr>
        <w:t xml:space="preserve"> Natural Health Companies and practitioners have been charged with violations under the Food and Drugs Act, but not large pharmaceutical companies. </w:t>
      </w:r>
    </w:p>
    <w:p>
      <w:pPr>
        <w:rPr>
          <w:rFonts w:ascii="Calibri" w:hAnsi="Calibri" w:cs="Calibri"/>
          <w:color w:val="000000"/>
        </w:rPr>
      </w:pPr>
      <w:r>
        <w:rPr>
          <w:rFonts w:ascii="Calibri" w:hAnsi="Calibri" w:cs="Calibri"/>
          <w:color w:val="000000"/>
        </w:rPr>
        <w:t xml:space="preserve">At the World’s Greatest Health Show Professor Alan Cassels spoke on how chemical drugs taken as directed are the third leading cause of death in Canada (put in link). There have been famous drug scandals such as with Thalidomide and Vioxx. Despite this, there has never been a big pharmaceutical company ever charged under the Food and Drugs Act in Canada</w:t>
      </w:r>
      <w:r>
        <w:rPr>
          <w:rFonts w:ascii="Calibri" w:hAnsi="Calibri" w:cs="Calibri"/>
          <w:b/>
          <w:i/>
          <w:color w:val="000000"/>
        </w:rPr>
        <w:t xml:space="preserve">. It is like large pharmaceutical companies have a built in immunity from charges.</w:t>
      </w:r>
      <w:r>
        <w:rPr>
          <w:rFonts w:ascii="Calibri" w:hAnsi="Calibri" w:cs="Calibri"/>
          <w:color w:val="000000"/>
        </w:rPr>
        <w:t xml:space="preserve"> </w:t>
      </w:r>
    </w:p>
    <w:p>
      <w:pPr>
        <w:rPr>
          <w:rFonts w:ascii="Calibri" w:hAnsi="Calibri" w:cs="Calibri"/>
          <w:b/>
          <w:i/>
          <w:color w:val="000000"/>
        </w:rPr>
      </w:pPr>
      <w:r>
        <w:rPr>
          <w:rFonts w:ascii="Calibri" w:hAnsi="Calibri" w:cs="Calibri"/>
          <w:color w:val="000000"/>
        </w:rPr>
        <w:t xml:space="preserve">How can it be that never in history has a pharmaceutical company been charged with even a minor violation when pharmaceutical drugs are the third leading cause of death in Canada? How can it be that Health Canada has subjected NHPs to the therapeutic product penalties? How can it be that natural health manufacturers and practitioners can now be destroyed for providing Canadians with vital nutrients essential for health? </w:t>
      </w:r>
      <w:r>
        <w:rPr>
          <w:rFonts w:ascii="Calibri" w:hAnsi="Calibri" w:cs="Calibri"/>
          <w:b/>
          <w:i/>
          <w:color w:val="000000"/>
        </w:rPr>
        <w:t xml:space="preserve">Our drug laws are now adversarial against the citizen.</w:t>
      </w:r>
    </w:p>
    <w:p>
      <w:pPr>
        <w:rPr>
          <w:rFonts w:ascii="Calibri" w:hAnsi="Calibri" w:cs="Calibri"/>
          <w:b/>
          <w:i/>
          <w:color w:val="000000"/>
        </w:rPr>
      </w:pPr>
      <w:r>
        <w:rPr>
          <w:rFonts w:ascii="Calibri" w:hAnsi="Calibri" w:cs="Calibri"/>
          <w:b/>
          <w:i/>
          <w:color w:val="000000"/>
        </w:rPr>
        <w:t xml:space="preserve">I need you to fix this. I need you to ensure that Bill C-224 is passed into law. </w:t>
      </w:r>
      <w:r>
        <w:rPr>
          <w:rFonts w:ascii="Calibri" w:hAnsi="Calibri" w:cs="Calibri"/>
          <w:color w:val="000000"/>
          <w:sz w:val="24"/>
          <w:szCs w:val="24"/>
        </w:rPr>
        <w:t xml:space="preserve">I want you to restore Bill C-224 to its original wording at the Report stage. </w:t>
      </w:r>
    </w:p>
    <w:p>
      <w:pPr>
        <w:rPr>
          <w:rFonts w:ascii="Calibri" w:hAnsi="Calibri" w:cs="Calibri"/>
          <w:color w:val="000000"/>
          <w:sz w:val="24"/>
          <w:szCs w:val="24"/>
        </w:rPr>
      </w:pPr>
      <w:r>
        <w:rPr>
          <w:rFonts w:ascii="Calibri" w:hAnsi="Calibri" w:cs="Calibri"/>
          <w:color w:val="000000"/>
          <w:sz w:val="24"/>
          <w:szCs w:val="24"/>
        </w:rPr>
        <w:t xml:space="preserve">I also want you to pass the </w:t>
      </w:r>
      <w:r>
        <w:rPr>
          <w:rFonts w:ascii="Calibri" w:hAnsi="Calibri" w:cs="Calibri"/>
          <w:i/>
          <w:color w:val="000000"/>
          <w:sz w:val="24"/>
          <w:szCs w:val="24"/>
        </w:rPr>
        <w:t xml:space="preserve">Charter of Health Freedom</w:t>
      </w:r>
      <w:r>
        <w:rPr>
          <w:rFonts w:ascii="Calibri" w:hAnsi="Calibri" w:cs="Calibri"/>
          <w:color w:val="000000"/>
          <w:sz w:val="24"/>
          <w:szCs w:val="24"/>
        </w:rPr>
        <w:t xml:space="preserve"> into law so that my access to NHPs is protected and promoted (https://www.charterofhealthfreedom.org/). </w:t>
      </w:r>
    </w:p>
    <w:p>
      <w:pPr>
        <w:rPr>
          <w:rFonts w:ascii="Calibri" w:hAnsi="Calibri" w:cs="Calibri"/>
          <w:color w:val="000000"/>
        </w:rPr>
      </w:pPr>
      <w:r>
        <w:rPr>
          <w:rFonts w:ascii="Calibri" w:hAnsi="Calibri" w:cs="Calibri"/>
          <w:color w:val="000000"/>
        </w:rPr>
        <w:t xml:space="preserve">*Please confirm that I can count on you to support </w:t>
      </w:r>
      <w:r>
        <w:rPr>
          <w:rStyle w:val="Strong"/>
          <w:rFonts w:ascii="Calibri" w:hAnsi="Calibri" w:cs="Calibri"/>
          <w:color w:val="000000"/>
        </w:rPr>
        <w:t xml:space="preserve">Bill C-224</w:t>
      </w:r>
      <w:r>
        <w:rPr>
          <w:rFonts w:ascii="Calibri" w:hAnsi="Calibri" w:cs="Calibri"/>
          <w:color w:val="000000"/>
        </w:rPr>
        <w:t xml:space="preserve"> as it advances through Parliament.</w:t>
        <w:br/>
        <w:br/>
        <w:t xml:space="preserve">---------------------------------------------------------------------------------------------------------------------------------------</w:t>
      </w:r>
    </w:p>
    <w:p>
      <w:pPr>
        <w:rPr>
          <w:rFonts w:ascii="Calibri" w:hAnsi="Calibri" w:cs="Calibri"/>
          <w:color w:val="000000"/>
        </w:rPr>
      </w:pPr>
    </w:p>
    <w:p>
      <w:pPr>
        <w:rPr>
          <w:rFonts w:ascii="Calibri" w:hAnsi="Calibri" w:cs="Calibri"/>
          <w:color w:val="000000"/>
        </w:rPr>
      </w:pPr>
      <w:r>
        <w:rPr>
          <w:rFonts w:ascii="Calibri" w:hAnsi="Calibri" w:cs="Calibri"/>
          <w:color w:val="000000"/>
        </w:rPr>
        <w:t xml:space="preserve"> </w:t>
      </w:r>
      <w:r>
        <w:rPr>
          <w:color w:val="000000"/>
        </w:rPr>
        <w:t xml:space="preserve">Madame la députée / Monsieur le député [Nom de famille],</w:t>
      </w:r>
    </w:p>
    <w:p>
      <w:pPr>
        <w:rPr>
          <w:color w:val="000000"/>
        </w:rPr>
      </w:pPr>
      <w:r>
        <w:rPr>
          <w:b/>
          <w:color w:val="000000"/>
        </w:rPr>
        <w:t xml:space="preserve">Objet : Veiller à ce que mes produits de santé naturels ne soient pas soumis à une réglementation excessive – Adopter le projet de loi C-224 dans sa forme originale</w:t>
      </w:r>
    </w:p>
    <w:p>
      <w:pPr>
        <w:rPr>
          <w:color w:val="000000"/>
        </w:rPr>
      </w:pPr>
      <w:r>
        <w:rPr>
          <w:b/>
          <w:i/>
          <w:color w:val="000000"/>
        </w:rPr>
        <w:t xml:space="preserve">Je vous demande de faire tout ce qui est en votre pouvoir pour que le projet de loi C-224 soit adopté.</w:t>
      </w:r>
      <w:r>
        <w:rPr>
          <w:color w:val="000000"/>
        </w:rPr>
        <w:t xml:space="preserve"> Les députés libéraux du Comité permanent de la santé ont modifié le projet de loi C-224. Je vous demande de rétablir son libellé original à l’étape du rapport.</w:t>
      </w:r>
    </w:p>
    <w:p>
      <w:pPr>
        <w:rPr>
          <w:color w:val="000000"/>
        </w:rPr>
      </w:pPr>
      <w:r>
        <w:rPr>
          <w:color w:val="000000"/>
        </w:rPr>
        <w:t xml:space="preserve">Les produits de santé naturels (PSN) comprennent nos nutriments essentiels et nos remèdes naturels. Récemment, nos PSN ont été transférés dans une catégorie de médicaments réservée aux médicaments chimiques dangereux : celle des </w:t>
      </w:r>
      <w:r>
        <w:rPr>
          <w:i/>
          <w:color w:val="000000"/>
        </w:rPr>
        <w:t xml:space="preserve">produits thérapeutiques</w:t>
      </w:r>
      <w:r>
        <w:rPr>
          <w:color w:val="000000"/>
        </w:rPr>
        <w:t xml:space="preserve">. Les nutriments essentiels, comme le magnésium et la vitamine D, sont indispensables à la santé. Leur accès devrait être favorisé. Ils ne devraient pas être assujettis aux restrictions de la catégorie des </w:t>
      </w:r>
      <w:r>
        <w:rPr>
          <w:i/>
          <w:color w:val="000000"/>
        </w:rPr>
        <w:t xml:space="preserve">produits thérapeutiques</w:t>
      </w:r>
      <w:r>
        <w:rPr>
          <w:color w:val="000000"/>
        </w:rPr>
        <w:t xml:space="preserve">. </w:t>
      </w:r>
      <w:r>
        <w:rPr>
          <w:b/>
          <w:i/>
          <w:color w:val="000000"/>
        </w:rPr>
        <w:t xml:space="preserve">C’est moralement inacceptable.</w:t>
      </w:r>
    </w:p>
    <w:p>
      <w:pPr>
        <w:rPr>
          <w:color w:val="000000"/>
        </w:rPr>
      </w:pPr>
      <w:r>
        <w:rPr>
          <w:b/>
          <w:color w:val="000000"/>
        </w:rPr>
        <w:t xml:space="preserve">La catégorie des produits thérapeutiques est marquée par une histoire troublante :</w:t>
      </w:r>
    </w:p>
    <w:p>
      <w:pPr>
        <w:pStyle w:val="ListParagraph"/>
        <w:numPr>
          <w:ilvl w:val="0"/>
          <w:numId w:val="2"/>
        </w:numPr>
        <w:rPr>
          <w:color w:val="000000"/>
        </w:rPr>
      </w:pPr>
      <w:r>
        <w:rPr>
          <w:color w:val="000000"/>
        </w:rPr>
        <w:t xml:space="preserve">En février 2008, la sous-ministre adjointe Meena Ballantyne a annoncé que la Loi sur les aliments et drogues allait être </w:t>
      </w:r>
      <w:r>
        <w:rPr>
          <w:b/>
          <w:i/>
          <w:color w:val="000000"/>
        </w:rPr>
        <w:t xml:space="preserve">modifiée dans le but de renforcer la réglementation des produits de santé naturels</w:t>
      </w:r>
      <w:r>
        <w:rPr>
          <w:color w:val="000000"/>
        </w:rPr>
        <w:t xml:space="preserve"> (insérer le lien vers Meena Ballantyne).</w:t>
      </w:r>
    </w:p>
    <w:p>
      <w:pPr>
        <w:pStyle w:val="ListParagraph"/>
        <w:numPr>
          <w:ilvl w:val="0"/>
          <w:numId w:val="2"/>
        </w:numPr>
        <w:rPr>
          <w:color w:val="000000"/>
        </w:rPr>
      </w:pPr>
      <w:r>
        <w:rPr>
          <w:color w:val="000000"/>
        </w:rPr>
        <w:t xml:space="preserve">En mars 2008, ces modifications ont été présentées dans le projet de loi C-51. Celui-ci a introduit, pour la première fois, les dispositions de la </w:t>
      </w:r>
      <w:r>
        <w:rPr>
          <w:i/>
          <w:color w:val="000000"/>
        </w:rPr>
        <w:t xml:space="preserve">Loi sur les aliments et drogues</w:t>
      </w:r>
      <w:r>
        <w:rPr>
          <w:color w:val="000000"/>
        </w:rPr>
        <w:t xml:space="preserve"> qui constituent aujourd’hui le cadre réglementaire des </w:t>
      </w:r>
      <w:r>
        <w:rPr>
          <w:i/>
          <w:color w:val="000000"/>
        </w:rPr>
        <w:t xml:space="preserve">produits thérapeutiques</w:t>
      </w:r>
      <w:r>
        <w:rPr>
          <w:color w:val="000000"/>
        </w:rPr>
        <w:t xml:space="preserve">, notamment l’augmentation des amendes et l’octroi de nouveaux pouvoirs à Santé Canada à l’égard de ces produits.</w:t>
      </w:r>
    </w:p>
    <w:p>
      <w:pPr>
        <w:pStyle w:val="ListParagraph"/>
        <w:numPr>
          <w:ilvl w:val="0"/>
          <w:numId w:val="2"/>
        </w:numPr>
        <w:rPr>
          <w:color w:val="000000"/>
        </w:rPr>
      </w:pPr>
      <w:r>
        <w:rPr>
          <w:color w:val="000000"/>
        </w:rPr>
        <w:t xml:space="preserve">Les citoyens canadiens se sont mobilisés pour faire échec au projet de loi C-51, </w:t>
      </w:r>
      <w:r>
        <w:rPr>
          <w:b/>
          <w:i/>
          <w:color w:val="000000"/>
        </w:rPr>
        <w:t xml:space="preserve">montrant clairement qu’ils ne voulaient pas que leurs produits de santé naturels soient assujettis aux dispositions relatives aux produits thérapeutiques.</w:t>
      </w:r>
    </w:p>
    <w:p>
      <w:pPr>
        <w:pStyle w:val="ListParagraph"/>
        <w:numPr>
          <w:ilvl w:val="0"/>
          <w:numId w:val="2"/>
        </w:numPr>
        <w:rPr>
          <w:b/>
          <w:i/>
          <w:color w:val="000000"/>
        </w:rPr>
      </w:pPr>
      <w:r>
        <w:rPr>
          <w:color w:val="000000"/>
        </w:rPr>
        <w:t xml:space="preserve">En 2014, ces dispositions ont été réintroduites dans la « Loi de Vanessa » (projet de loi C-17). Les Canadiens ne se sont pas mobilisés contre cette loi parce que les dispositions relatives aux </w:t>
      </w:r>
      <w:r>
        <w:rPr>
          <w:i/>
          <w:color w:val="000000"/>
        </w:rPr>
        <w:t xml:space="preserve">produits thérapeutiques</w:t>
      </w:r>
      <w:r>
        <w:rPr>
          <w:color w:val="000000"/>
        </w:rPr>
        <w:t xml:space="preserve"> qu’elle contenait ne s’appliquaient pas aux PSN.</w:t>
      </w:r>
    </w:p>
    <w:p>
      <w:pPr>
        <w:pStyle w:val="ListParagraph"/>
        <w:numPr>
          <w:ilvl w:val="0"/>
          <w:numId w:val="2"/>
        </w:numPr>
        <w:rPr>
          <w:color w:val="000000"/>
        </w:rPr>
      </w:pPr>
      <w:r>
        <w:rPr>
          <w:color w:val="000000"/>
        </w:rPr>
        <w:t xml:space="preserve">Dans le projet de loi budgétaire de 2023 (projet de loi C-47), la </w:t>
      </w:r>
      <w:r>
        <w:rPr>
          <w:i/>
          <w:color w:val="000000"/>
        </w:rPr>
        <w:t xml:space="preserve">Loi sur les aliments et drogues</w:t>
      </w:r>
      <w:r>
        <w:rPr>
          <w:color w:val="000000"/>
        </w:rPr>
        <w:t xml:space="preserve"> a été modifiée afin que les dispositions relatives aux produits thérapeutiques s’appliquent également aux PSN. </w:t>
      </w:r>
      <w:r>
        <w:rPr>
          <w:b/>
          <w:i/>
          <w:color w:val="000000"/>
        </w:rPr>
        <w:t xml:space="preserve">Ce changement a été glissé dans le projet de loi budgétaire parce que Santé Canada savait que les citoyens s’opposeraient à ces modifications. Le projet de loi budgétaire a été adopté avant que les citoyens aient eu le temps de réagir.</w:t>
      </w:r>
    </w:p>
    <w:p>
      <w:pPr>
        <w:rPr>
          <w:color w:val="000000"/>
        </w:rPr>
      </w:pPr>
      <w:r>
        <w:rPr>
          <w:color w:val="000000"/>
        </w:rPr>
        <w:t xml:space="preserve">Le projet de loi C-224 corrige les torts causés par le projet de loi budgétaire de 2023, qui va clairement à l’encontre de la volonté des Canadiens et de la mienne.</w:t>
      </w:r>
    </w:p>
    <w:p>
      <w:pPr>
        <w:rPr>
          <w:color w:val="000000"/>
        </w:rPr>
      </w:pPr>
      <w:r>
        <w:rPr>
          <w:color w:val="000000"/>
        </w:rPr>
        <w:t xml:space="preserve">Les amendes pouvant atteindre cinq millions de dollars par jour prévues dans les dispositions relatives aux </w:t>
      </w:r>
      <w:r>
        <w:rPr>
          <w:i/>
          <w:color w:val="000000"/>
        </w:rPr>
        <w:t xml:space="preserve">produits thérapeutiques</w:t>
      </w:r>
      <w:r>
        <w:rPr>
          <w:color w:val="000000"/>
        </w:rPr>
        <w:t xml:space="preserve"> peuvent représenter des sommes dérisoires pour les grandes sociétés pharmaceutiques, mais elles sont excessives pour les praticiens en santé naturelle et les entreprises de produits de santé naturels. Elles sont inappropriées.</w:t>
      </w:r>
    </w:p>
    <w:p>
      <w:pPr>
        <w:rPr>
          <w:color w:val="000000"/>
        </w:rPr>
      </w:pPr>
      <w:r>
        <w:rPr>
          <w:color w:val="000000"/>
        </w:rPr>
        <w:t xml:space="preserve">Il existe également un deux poids, deux mesures. </w:t>
      </w:r>
      <w:r>
        <w:rPr>
          <w:b/>
          <w:i/>
          <w:color w:val="000000"/>
        </w:rPr>
        <w:t xml:space="preserve">Saviez-vous qu’au cours de toute l’histoire du Canada, aucune grande société pharmaceutique n’a été accusée d’une seule infraction, même mineure, à la Loi sur les aliments et drogues?</w:t>
      </w:r>
      <w:r>
        <w:rPr>
          <w:color w:val="000000"/>
        </w:rPr>
        <w:t xml:space="preserve"> Des entreprises de produits de santé naturels et des praticiens ont été accusés d’infractions à cette loi, mais pas les grandes sociétés pharmaceutiques.</w:t>
      </w:r>
    </w:p>
    <w:p>
      <w:pPr>
        <w:rPr>
          <w:color w:val="000000"/>
        </w:rPr>
      </w:pPr>
      <w:r>
        <w:rPr>
          <w:color w:val="000000"/>
        </w:rPr>
        <w:t xml:space="preserve">Lors du </w:t>
      </w:r>
      <w:r>
        <w:rPr>
          <w:i/>
          <w:color w:val="000000"/>
        </w:rPr>
        <w:t xml:space="preserve">World’s Greatest Health Show</w:t>
      </w:r>
      <w:r>
        <w:rPr>
          <w:color w:val="000000"/>
        </w:rPr>
        <w:t xml:space="preserve">, le professeur Alan Cassels a expliqué que les médicaments chimiques, même lorsqu’ils sont pris conformément aux directives, constituent la troisième cause de décès au Canada (insérer le lien vers sa présentation). Des scandales pharmaceutiques bien connus ont notamment impliqué la thalidomide et le Vioxx. Malgré cela, aucune grande société pharmaceutique n’a jamais été accusée d’une infraction à la </w:t>
      </w:r>
      <w:r>
        <w:rPr>
          <w:i/>
          <w:color w:val="000000"/>
        </w:rPr>
        <w:t xml:space="preserve">Loi sur les aliments et drogues</w:t>
      </w:r>
      <w:r>
        <w:rPr>
          <w:color w:val="000000"/>
        </w:rPr>
        <w:t xml:space="preserve"> au Canada. </w:t>
      </w:r>
      <w:r>
        <w:rPr>
          <w:b/>
          <w:i/>
          <w:color w:val="000000"/>
        </w:rPr>
        <w:t xml:space="preserve">On pourrait croire que les grandes sociétés pharmaceutiques bénéficient d’une immunité de fait contre les poursuites.</w:t>
      </w:r>
    </w:p>
    <w:p>
      <w:pPr>
        <w:rPr>
          <w:color w:val="000000"/>
        </w:rPr>
      </w:pPr>
      <w:r>
        <w:rPr>
          <w:color w:val="000000"/>
        </w:rPr>
        <w:t xml:space="preserve">Comment se fait-il qu’aucune société pharmaceutique n’ait jamais été accusée, même pour une infraction mineure, alors que les médicaments pharmaceutiques constituent la troisième cause de décès au Canada? Comment se fait-il que Santé Canada ait assujetti les PSN aux sanctions prévues pour les produits thérapeutiques? Comment se fait-il que les fabricants de produits de santé naturels et les praticiens puissent désormais être ruinés pour avoir fourni aux Canadiens des nutriments essentiels à leur santé? </w:t>
      </w:r>
      <w:r>
        <w:rPr>
          <w:b/>
          <w:i/>
          <w:color w:val="000000"/>
        </w:rPr>
        <w:t xml:space="preserve">Notre législation sur les médicaments est désormais antagoniste envers les citoyens.</w:t>
      </w:r>
    </w:p>
    <w:p>
      <w:pPr>
        <w:rPr>
          <w:color w:val="000000"/>
        </w:rPr>
      </w:pPr>
      <w:r>
        <w:rPr>
          <w:b/>
          <w:i/>
          <w:color w:val="000000"/>
        </w:rPr>
        <w:t xml:space="preserve">J’ai besoin que vous corrigiez cette situation. Je vous demande de faire en sorte que le projet de loi C-224 soit adopté.</w:t>
      </w:r>
      <w:r>
        <w:rPr>
          <w:color w:val="000000"/>
        </w:rPr>
        <w:t xml:space="preserve"> Je vous demande de rétablir son libellé original à l’étape du rapport.</w:t>
      </w:r>
    </w:p>
    <w:p>
      <w:pPr>
        <w:rPr>
          <w:color w:val="000000"/>
        </w:rPr>
      </w:pPr>
      <w:r>
        <w:rPr>
          <w:color w:val="000000"/>
        </w:rPr>
        <w:t xml:space="preserve">Je vous demande également d’adopter la </w:t>
      </w:r>
      <w:r>
        <w:rPr>
          <w:i/>
          <w:color w:val="000000"/>
        </w:rPr>
        <w:t xml:space="preserve">Charte de la santé</w:t>
      </w:r>
      <w:r>
        <w:rPr>
          <w:color w:val="000000"/>
        </w:rPr>
        <w:t xml:space="preserve"> afin que mon accès aux produits de santé naturels soit protégé et favorisé par la loi : </w:t>
      </w:r>
      <w:hyperlink r:id="rId1" w:history="1">
        <w:r>
          <w:rPr>
            <w:color w:val="000000"/>
          </w:rPr>
          <w:t xml:space="preserve">https://www.charterofhealthfreedom.org/</w:t>
        </w:r>
      </w:hyperlink>
    </w:p>
    <w:p>
      <w:pPr>
        <w:rPr>
          <w:color w:val="000000"/>
        </w:rPr>
      </w:pPr>
      <w:r>
        <w:rPr>
          <w:b/>
          <w:color w:val="000000"/>
        </w:rPr>
        <w:t xml:space="preserve">*Veuillez confirmer que je peux compter sur votre appui au projet de loi C-224 tout au long de son cheminement au Parlement.</w:t>
      </w:r>
    </w:p>
    <w:p>
      <w:pPr>
        <w:rPr>
          <w:color w:val="000000"/>
        </w:rPr>
      </w:pPr>
    </w:p>
    <w:sectPr>
      <w:type w:val="nextPage"/>
      <w:pgSz w:w="12240" w:h="15840"/>
      <w:pgMar w:top="1440" w:right="1440" w:bottom="1440" w:left="1440" w:header="708" w:footer="708" w:gutter="0"/>
      <w:cols w:space="708" w:num="1"/>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abstractNum w:abstractNumId="0">
    <w:nsid w:val="6B4E65F5"/>
    <w:multiLevelType w:val="hybridMultilevel"/>
    <w:tmpl w:val="73C4B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multiLevelType w:val="multilevel"/>
    <w:lvl w:ilvl="0">
      <w:start w:val="1"/>
      <w:numFmt w:val="bullet"/>
      <w:lvlText w:val="•"/>
      <w:lvlJc w:val="left"/>
      <w:pPr>
        <w:ind w:left="720" w:hanging="360"/>
      </w:pPr>
      <w:rPr>
        <w:rFonts w:ascii="Arial" w:hAnsi="Arial"/>
      </w:rPr>
    </w:lvl>
    <w:lvl w:ilvl="1">
      <w:start w:val="1"/>
      <w:numFmt w:val="bullet"/>
      <w:lvlText w:val="○"/>
      <w:lvlJc w:val="left"/>
      <w:pPr>
        <w:ind w:left="1440" w:hanging="360"/>
      </w:pPr>
      <w:rPr>
        <w:rFonts w:ascii="Arial" w:hAnsi="Arial"/>
      </w:rPr>
    </w:lvl>
    <w:lvl w:ilvl="2">
      <w:start w:val="1"/>
      <w:numFmt w:val="bullet"/>
      <w:lvlText w:val="▪"/>
      <w:lvlJc w:val="left"/>
      <w:pPr>
        <w:ind w:left="2160" w:hanging="360"/>
      </w:pPr>
      <w:rPr>
        <w:rFonts w:ascii="Arial" w:hAnsi="Arial"/>
      </w:rPr>
    </w:lvl>
    <w:lvl w:ilvl="3">
      <w:start w:val="1"/>
      <w:numFmt w:val="bullet"/>
      <w:lvlText w:val="•"/>
      <w:lvlJc w:val="left"/>
      <w:pPr>
        <w:ind w:left="2880" w:hanging="360"/>
      </w:pPr>
      <w:rPr>
        <w:rFonts w:ascii="Arial" w:hAnsi="Arial"/>
      </w:rPr>
    </w:lvl>
    <w:lvl w:ilvl="4">
      <w:start w:val="1"/>
      <w:numFmt w:val="bullet"/>
      <w:lvlText w:val="○"/>
      <w:lvlJc w:val="left"/>
      <w:pPr>
        <w:ind w:left="3600" w:hanging="360"/>
      </w:pPr>
      <w:rPr>
        <w:rFonts w:ascii="Arial" w:hAnsi="Arial"/>
      </w:rPr>
    </w:lvl>
    <w:lvl w:ilvl="5">
      <w:start w:val="1"/>
      <w:numFmt w:val="bullet"/>
      <w:lvlText w:val="▪"/>
      <w:lvlJc w:val="left"/>
      <w:pPr>
        <w:ind w:left="4320" w:hanging="360"/>
      </w:pPr>
      <w:rPr>
        <w:rFonts w:ascii="Arial" w:hAnsi="Arial"/>
      </w:rPr>
    </w:lvl>
    <w:lvl w:ilvl="6">
      <w:start w:val="1"/>
      <w:numFmt w:val="bullet"/>
      <w:lvlText w:val="•"/>
      <w:lvlJc w:val="left"/>
      <w:pPr>
        <w:ind w:left="5040" w:hanging="360"/>
      </w:pPr>
      <w:rPr>
        <w:rFonts w:ascii="Arial" w:hAnsi="Arial"/>
      </w:rPr>
    </w:lvl>
    <w:lvl w:ilvl="7">
      <w:start w:val="1"/>
      <w:numFmt w:val="bullet"/>
      <w:lvlText w:val="○"/>
      <w:lvlJc w:val="left"/>
      <w:pPr>
        <w:ind w:left="5760" w:hanging="360"/>
      </w:pPr>
      <w:rPr>
        <w:rFonts w:ascii="Arial" w:hAnsi="Arial"/>
      </w:rPr>
    </w:lvl>
    <w:lvl w:ilvl="8">
      <w:start w:val="1"/>
      <w:numFmt w:val="bullet"/>
      <w:lvlText w:val="▪"/>
      <w:lvlJc w:val="left"/>
      <w:pPr>
        <w:ind w:left="6480" w:hanging="360"/>
      </w:pPr>
      <w:rPr>
        <w:rFonts w:ascii="Arial" w:hAnsi="Arial"/>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characterSpacingControl w:val="doNotCompress"/>
  <w:footnotePr>
    <w:numFmt w:val="decimal"/>
  </w:footnotePr>
  <w:endnotePr>
    <w:numFmt w:val="lowerRoman"/>
  </w:endnotePr>
  <w:compat>
    <w:compatSetting w:name="compatibilityMode" w:uri="http://schemas.microsoft.com/office/word" w:val="12"/>
  </w:compat>
  <w:rsids>
    <w:rsidRoot w:val="009F0F4F"/>
    <w:rsid w:val="0007683B"/>
    <w:rsid w:val="00112CC5"/>
    <w:rsid w:val="00313C24"/>
    <w:rsid w:val="004826A2"/>
    <w:rsid w:val="00676A74"/>
    <w:rsid w:val="006C1CDE"/>
    <w:rsid w:val="00822D7D"/>
    <w:rsid w:val="009004DA"/>
    <w:rsid w:val="009F0F4F"/>
    <w:rsid w:val="00AA7CF2"/>
    <w:rsid w:val="00E35999"/>
    <w:rsid w:val="00E8038B"/>
    <w:rsid w:val="00F310FF"/>
    <w:rsid w:val="00FE2EB1"/>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docDefaults>
    <w:rPrDefault>
      <w:rPr>
        <w:rFonts w:ascii="Calibri" w:hAnsi="Calibr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styleId="NoSpacing">
    <w:name w:val="No Spacing"/>
    <w:basedOn w:val="Normal"/>
    <w:uiPriority w:val="1"/>
    <w:qFormat/>
    <w:pPr>
      <w:spacing w:after="0" w:line="240" w:lineRule="auto"/>
    </w:pPr>
  </w:style>
  <w:style w:type="paragraph" w:styleId="Heading1">
    <w:name w:val="heading 1"/>
    <w:basedOn w:val="Normal"/>
    <w:next w:val="Normal"/>
    <w:link w:val="Heading1Char"/>
    <w:uiPriority w:val="10"/>
    <w:qFormat/>
    <w:pPr>
      <w:keepNext/>
      <w:keepLines/>
      <w:spacing w:before="360" w:after="80"/>
      <w:outlineLvl w:val="0"/>
    </w:pPr>
    <w:rPr>
      <w:rFonts w:ascii="Aptos Display" w:hAnsi="Aptos Display"/>
      <w:color w:val="0F4761"/>
      <w:sz w:val="40"/>
    </w:rPr>
  </w:style>
  <w:style w:type="paragraph" w:styleId="Heading2">
    <w:name w:val="heading 2"/>
    <w:basedOn w:val="Normal"/>
    <w:next w:val="Normal"/>
    <w:link w:val="Heading2Char"/>
    <w:uiPriority w:val="11"/>
    <w:qFormat/>
    <w:pPr>
      <w:keepNext/>
      <w:keepLines/>
      <w:spacing w:before="160" w:after="80"/>
      <w:outlineLvl w:val="1"/>
    </w:pPr>
    <w:rPr>
      <w:rFonts w:ascii="Aptos Display" w:hAnsi="Aptos Display"/>
      <w:color w:val="0F4761"/>
      <w:sz w:val="32"/>
    </w:rPr>
  </w:style>
  <w:style w:type="paragraph" w:styleId="Heading3">
    <w:name w:val="heading 3"/>
    <w:basedOn w:val="Normal"/>
    <w:next w:val="Normal"/>
    <w:link w:val="Heading3Char"/>
    <w:uiPriority w:val="12"/>
    <w:qFormat/>
    <w:pPr>
      <w:keepNext/>
      <w:keepLines/>
      <w:spacing w:before="160" w:after="80"/>
      <w:outlineLvl w:val="2"/>
    </w:pPr>
    <w:rPr>
      <w:rFonts w:ascii="Aptos" w:hAnsi="Aptos"/>
      <w:color w:val="0F4761"/>
      <w:sz w:val="28"/>
    </w:rPr>
  </w:style>
  <w:style w:type="paragraph" w:styleId="Heading4">
    <w:name w:val="heading 4"/>
    <w:basedOn w:val="Normal"/>
    <w:next w:val="Normal"/>
    <w:link w:val="Heading4Char"/>
    <w:uiPriority w:val="13"/>
    <w:pPr>
      <w:keepNext/>
      <w:keepLines/>
      <w:spacing w:before="80" w:after="40"/>
      <w:outlineLvl w:val="3"/>
    </w:pPr>
    <w:rPr>
      <w:rFonts w:ascii="Aptos" w:hAnsi="Aptos"/>
      <w:i/>
      <w:color w:val="0F4761"/>
      <w:sz w:val="24"/>
    </w:rPr>
  </w:style>
  <w:style w:type="paragraph" w:styleId="Heading5">
    <w:name w:val="heading 5"/>
    <w:basedOn w:val="Normal"/>
    <w:next w:val="Normal"/>
    <w:link w:val="Heading5Char"/>
    <w:uiPriority w:val="14"/>
    <w:pPr>
      <w:keepNext/>
      <w:keepLines/>
      <w:spacing w:before="80" w:after="40"/>
      <w:outlineLvl w:val="4"/>
    </w:pPr>
    <w:rPr>
      <w:rFonts w:ascii="Aptos" w:hAnsi="Aptos"/>
      <w:color w:val="0F4761"/>
      <w:sz w:val="24"/>
    </w:rPr>
  </w:style>
  <w:style w:type="paragraph" w:styleId="Heading6">
    <w:name w:val="heading 6"/>
    <w:basedOn w:val="Normal"/>
    <w:next w:val="Normal"/>
    <w:link w:val="Heading6Char"/>
    <w:uiPriority w:val="15"/>
    <w:pPr>
      <w:keepNext/>
      <w:keepLines/>
      <w:spacing w:before="40" w:after="0"/>
      <w:outlineLvl w:val="5"/>
    </w:pPr>
    <w:rPr>
      <w:rFonts w:ascii="Aptos" w:hAnsi="Aptos"/>
      <w:i/>
      <w:color w:val="595959"/>
      <w:sz w:val="24"/>
    </w:rPr>
  </w:style>
  <w:style w:type="paragraph" w:styleId="Heading7">
    <w:name w:val="heading 7"/>
    <w:basedOn w:val="Normal"/>
    <w:next w:val="Normal"/>
    <w:link w:val="Heading7Char"/>
    <w:uiPriority w:val="16"/>
    <w:pPr>
      <w:keepNext/>
      <w:keepLines/>
      <w:spacing w:before="40" w:after="0"/>
      <w:outlineLvl w:val="6"/>
    </w:pPr>
    <w:rPr>
      <w:rFonts w:ascii="Aptos" w:hAnsi="Aptos"/>
      <w:color w:val="595959"/>
      <w:sz w:val="24"/>
    </w:rPr>
  </w:style>
  <w:style w:type="paragraph" w:styleId="Heading8">
    <w:name w:val="heading 8"/>
    <w:basedOn w:val="Normal"/>
    <w:next w:val="Normal"/>
    <w:link w:val="Heading8Char"/>
    <w:uiPriority w:val="17"/>
    <w:pPr>
      <w:keepNext/>
      <w:keepLines/>
      <w:spacing w:before="0" w:after="0"/>
      <w:outlineLvl w:val="7"/>
    </w:pPr>
    <w:rPr>
      <w:rFonts w:ascii="Aptos" w:hAnsi="Aptos"/>
      <w:i/>
      <w:color w:val="272727"/>
      <w:sz w:val="24"/>
    </w:rPr>
  </w:style>
  <w:style w:type="paragraph" w:styleId="Heading9">
    <w:name w:val="heading 9"/>
    <w:basedOn w:val="Normal"/>
    <w:next w:val="Normal"/>
    <w:link w:val="Heading9Char"/>
    <w:uiPriority w:val="18"/>
    <w:pPr>
      <w:keepNext/>
      <w:keepLines/>
      <w:spacing w:before="0" w:after="0"/>
      <w:outlineLvl w:val="8"/>
    </w:pPr>
    <w:rPr>
      <w:rFonts w:ascii="Aptos" w:hAnsi="Aptos"/>
      <w:color w:val="272727"/>
      <w:sz w:val="24"/>
    </w:rPr>
  </w:style>
  <w:style w:type="paragraph" w:styleId="Title">
    <w:name w:val="Title"/>
    <w:basedOn w:val="Normal"/>
    <w:next w:val="Normal"/>
    <w:uiPriority w:val="10"/>
    <w:qFormat/>
    <w:pPr>
      <w:spacing w:after="80" w:line="240" w:lineRule="auto"/>
      <w:contextualSpacing/>
    </w:pPr>
    <w:rPr>
      <w:rFonts w:ascii="Aptos Display" w:hAnsi="Aptos Display"/>
      <w:spacing w:val="-10"/>
      <w:kern w:val="28"/>
      <w:sz w:val="56"/>
    </w:rPr>
  </w:style>
  <w:style w:type="paragraph" w:styleId="Subtitle">
    <w:name w:val="Subtitle"/>
    <w:basedOn w:val="Normal"/>
    <w:next w:val="Normal"/>
    <w:uiPriority w:val="11"/>
    <w:qFormat/>
    <w:rPr>
      <w:color w:val="595959"/>
      <w:spacing w:val="15"/>
      <w:sz w:val="28"/>
    </w:rPr>
  </w:style>
  <w:style w:type="character" w:styleId="SubtleEmphasis">
    <w:name w:val="Subtle Emphasis"/>
    <w:basedOn w:val="DefaultParagraphFont"/>
    <w:uiPriority w:val="19"/>
    <w:qFormat/>
    <w:rPr>
      <w:i/>
      <w:color w:val="404040"/>
    </w:rPr>
  </w:style>
  <w:style w:type="character" w:styleId="Emphasis">
    <w:name w:val="Emphasis"/>
    <w:basedOn w:val="DefaultParagraphFont"/>
    <w:uiPriority w:val="20"/>
    <w:qFormat/>
    <w:rPr>
      <w:i/>
    </w:rPr>
  </w:style>
  <w:style w:type="character" w:styleId="IntenseEmphasis">
    <w:name w:val="Intense Emphasis"/>
    <w:basedOn w:val="DefaultParagraphFont"/>
    <w:uiPriority w:val="21"/>
    <w:qFormat/>
    <w:rPr>
      <w:i/>
      <w:color w:val="0F4761"/>
    </w:rPr>
  </w:style>
  <w:style w:type="paragraph" w:styleId="Quote">
    <w:name w:val="Quote"/>
    <w:basedOn w:val="Normal"/>
    <w:next w:val="Normal"/>
    <w:uiPriority w:val="29"/>
    <w:qFormat/>
    <w:pPr>
      <w:spacing w:before="160"/>
      <w:jc w:val="center"/>
    </w:pPr>
    <w:rPr>
      <w:i/>
      <w:color w:val="404040"/>
    </w:rPr>
  </w:style>
  <w:style w:type="paragraph" w:styleId="IntenseQuote">
    <w:name w:val="Intense Quote"/>
    <w:basedOn w:val="Normal"/>
    <w:next w:val="Normal"/>
    <w:uiPriority w:val="30"/>
    <w:qFormat/>
    <w:pPr>
      <w:pBdr>
        <w:top w:val="single" w:sz="4" w:space="10" w:color="0F4761"/>
        <w:bottom w:val="single" w:sz="4" w:space="10" w:color="0F4761"/>
      </w:pBdr>
      <w:spacing w:before="360" w:after="360"/>
      <w:ind w:left="864" w:right="864"/>
      <w:jc w:val="center"/>
    </w:pPr>
    <w:rPr>
      <w:i/>
      <w:color w:val="0F4761"/>
    </w:rPr>
  </w:style>
  <w:style w:type="character" w:styleId="SubtleReference">
    <w:name w:val="Subtle Reference"/>
    <w:basedOn w:val="DefaultParagraphFont"/>
    <w:uiPriority w:val="31"/>
    <w:qFormat/>
    <w:rPr>
      <w:smallCaps/>
      <w:color w:val="5A5A5A"/>
    </w:rPr>
  </w:style>
  <w:style w:type="character" w:styleId="IntenseReference">
    <w:name w:val="Intense Reference"/>
    <w:basedOn w:val="DefaultParagraphFont"/>
    <w:uiPriority w:val="32"/>
    <w:qFormat/>
    <w:rPr>
      <w:b/>
      <w:smallCaps/>
      <w:color w:val="0F4761"/>
      <w:spacing w:val="5"/>
    </w:rPr>
  </w:style>
  <w:style w:type="character" w:styleId="BookTitle">
    <w:name w:val="Book Title"/>
    <w:basedOn w:val="DefaultParagraphFont"/>
    <w:uiPriority w:val="33"/>
    <w:qFormat/>
    <w:rPr>
      <w:b/>
      <w:i/>
      <w:spacing w:val="5"/>
    </w:rPr>
  </w:style>
  <w:style w:type="character" w:styleId="Hyperlink">
    <w:name w:val="Hyperlink"/>
    <w:basedOn w:val="DefaultParagraphFont"/>
    <w:uiPriority w:val="99"/>
    <w:rPr>
      <w:color w:val="467886"/>
      <w:u w:val="single"/>
    </w:rPr>
  </w:style>
  <w:style w:type="paragraph" w:styleId="Caption">
    <w:name w:val="caption"/>
    <w:basedOn w:val="Normal"/>
    <w:next w:val="Normal"/>
    <w:uiPriority w:val="35"/>
    <w:pPr>
      <w:spacing w:after="200" w:line="240" w:lineRule="auto"/>
    </w:pPr>
    <w:rPr>
      <w:i/>
      <w:color w:val="0E2841"/>
      <w:sz w:val="18"/>
    </w:rPr>
  </w:style>
  <w:style w:type="paragraph" w:styleId="Header">
    <w:name w:val="header"/>
    <w:basedOn w:val="Normal"/>
    <w:uiPriority w:val="99"/>
    <w:pPr>
      <w:tabs>
        <w:tab w:val="center" w:pos="4680"/>
        <w:tab w:val="right" w:pos="9360"/>
      </w:tabs>
      <w:spacing w:after="0" w:line="240" w:lineRule="auto"/>
    </w:pPr>
  </w:style>
  <w:style w:type="paragraph" w:styleId="Footer">
    <w:name w:val="footer"/>
    <w:basedOn w:val="Normal"/>
    <w:uiPriority w:val="99"/>
    <w:pPr>
      <w:tabs>
        <w:tab w:val="center" w:pos="4680"/>
        <w:tab w:val="right" w:pos="9360"/>
      </w:tabs>
      <w:spacing w:after="0" w:line="240" w:lineRule="auto"/>
    </w:pPr>
  </w:style>
  <w:style w:type="paragraph" w:styleId="FootnoteText">
    <w:name w:val="footnote text"/>
    <w:basedOn w:val="Normal"/>
    <w:uiPriority w:val="99"/>
    <w:pPr>
      <w:spacing w:after="0" w:line="240" w:lineRule="auto"/>
    </w:pPr>
    <w:rPr>
      <w:sz w:val="20"/>
    </w:rPr>
  </w:style>
  <w:style w:type="character" w:styleId="FootnoteReference">
    <w:name w:val="footnote reference"/>
    <w:basedOn w:val="DefaultParagraphFont"/>
    <w:uiPriority w:val="99"/>
    <w:rPr>
      <w:vertAlign w:val="superscript"/>
    </w:rPr>
  </w:style>
  <w:style w:type="paragraph" w:styleId="EndnoteText">
    <w:name w:val="endnote text"/>
    <w:basedOn w:val="Normal"/>
    <w:uiPriority w:val="99"/>
    <w:pPr>
      <w:spacing w:after="0" w:line="240" w:lineRule="auto"/>
    </w:pPr>
    <w:rPr>
      <w:sz w:val="20"/>
    </w:rPr>
  </w:style>
  <w:style w:type="character" w:styleId="EndnoteReference">
    <w:name w:val="endnote reference"/>
    <w:basedOn w:val="DefaultParagraphFont"/>
    <w:uiPriority w:val="99"/>
    <w:rPr>
      <w:vertAlign w:val="superscript"/>
    </w:rPr>
  </w:style>
  <w:style w:type="paragraph" w:styleId="TOCHeading">
    <w:name w:val="TOC Heading"/>
    <w:basedOn w:val="Heading1"/>
    <w:next w:val="Normal"/>
    <w:uiPriority w:val="39"/>
    <w:pPr>
      <w:spacing w:before="240"/>
      <w:outlineLvl w:val="9"/>
    </w:pPr>
  </w:style>
  <w:style w:type="paragraph" w:styleId="TOC1">
    <w:name w:val="toc 1"/>
    <w:basedOn w:val="Normal"/>
    <w:next w:val="Normal"/>
    <w:uiPriority w:val="39"/>
    <w:pPr>
      <w:spacing w:after="100"/>
      <w:ind w:left="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paragraph" w:styleId="TOC4">
    <w:name w:val="toc 4"/>
    <w:basedOn w:val="Normal"/>
    <w:next w:val="Normal"/>
    <w:uiPriority w:val="39"/>
    <w:pPr>
      <w:spacing w:after="100"/>
      <w:ind w:left="720"/>
    </w:pPr>
  </w:style>
  <w:style w:type="paragraph" w:styleId="TOC5">
    <w:name w:val="toc 5"/>
    <w:basedOn w:val="Normal"/>
    <w:next w:val="Normal"/>
    <w:uiPriority w:val="39"/>
    <w:pPr>
      <w:spacing w:after="100"/>
      <w:ind w:left="960"/>
    </w:pPr>
  </w:style>
  <w:style w:type="paragraph" w:styleId="TOC6">
    <w:name w:val="toc 6"/>
    <w:basedOn w:val="Normal"/>
    <w:next w:val="Normal"/>
    <w:uiPriority w:val="39"/>
    <w:pPr>
      <w:spacing w:after="100"/>
      <w:ind w:left="1200"/>
    </w:pPr>
  </w:style>
  <w:style w:type="paragraph" w:styleId="TOC7">
    <w:name w:val="toc 7"/>
    <w:basedOn w:val="Normal"/>
    <w:next w:val="Normal"/>
    <w:uiPriority w:val="39"/>
    <w:pPr>
      <w:spacing w:after="100"/>
      <w:ind w:left="1440"/>
    </w:pPr>
  </w:style>
  <w:style w:type="paragraph" w:styleId="TOC8">
    <w:name w:val="toc 8"/>
    <w:basedOn w:val="Normal"/>
    <w:next w:val="Normal"/>
    <w:uiPriority w:val="39"/>
    <w:pPr>
      <w:spacing w:after="100"/>
      <w:ind w:left="1680"/>
    </w:pPr>
  </w:style>
  <w:style w:type="paragraph" w:styleId="TOC9">
    <w:name w:val="toc 9"/>
    <w:basedOn w:val="Normal"/>
    <w:next w:val="Normal"/>
    <w:uiPriority w:val="39"/>
    <w:pPr>
      <w:spacing w:after="100"/>
      <w:ind w:left="1920"/>
    </w:pPr>
  </w:style>
  <w:style w:type="table" w:styleId="TableGrid">
    <w:name w:val="Table 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60"/>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band1Horz">
      <w:tcPr>
        <w:shd w:val="clear" w:color="auto" w:fill="F2F2F2"/>
      </w:tcPr>
    </w:tblStylePr>
    <w:tblStylePr w:type="firstCol">
      <w:rPr>
        <w:b/>
      </w:rPr>
    </w:tblStylePr>
    <w:tblStylePr w:type="firstRow">
      <w:rPr>
        <w:b/>
      </w:rPr>
    </w:tblStylePr>
  </w:style>
  <w:style w:type="table" w:styleId="GridTable1Light">
    <w:name w:val="Grid Table 1 Light"/>
    <w:basedOn w:val="TableNormal"/>
    <w:uiPriority w:val="60"/>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Col">
      <w:rPr>
        <w:b/>
      </w:rPr>
    </w:tblStylePr>
    <w:tblStylePr w:type="firstRow">
      <w:rPr>
        <w:b/>
      </w:rPr>
    </w:tblStylePr>
  </w:style>
  <w:style w:type="table" w:styleId="GridTable4AccentBlue">
    <w:name w:val="Grid Table 4 – Blue"/>
    <w:basedOn w:val="TableNormal"/>
    <w:uiPriority w:val="60"/>
    <w:pPr>
      <w:spacing w:after="0" w:line="240" w:lineRule="auto"/>
    </w:pPr>
    <w:tblPr>
      <w:tblStyleRowBandSize w:val="1"/>
      <w:tblStyleColBandSize w:val="1"/>
      <w:tblBorders>
        <w:top w:val="single" w:sz="4" w:space="0" w:color="C1E4F5"/>
        <w:left w:val="single" w:sz="4" w:space="0" w:color="C1E4F5"/>
        <w:bottom w:val="single" w:sz="4" w:space="0" w:color="C1E4F5"/>
        <w:right w:val="single" w:sz="4" w:space="0" w:color="C1E4F5"/>
        <w:insideH w:val="single" w:sz="4" w:space="0" w:color="C1E4F5"/>
        <w:insideV w:val="single" w:sz="4" w:space="0" w:color="C1E4F5"/>
      </w:tblBorders>
    </w:tblPr>
    <w:tblStylePr w:type="band1Horz">
      <w:tcPr>
        <w:shd w:val="clear" w:color="auto" w:fill="C1E4F5"/>
      </w:tcPr>
    </w:tblStylePr>
    <w:tblStylePr w:type="firstCol">
      <w:rPr>
        <w:b/>
      </w:rPr>
    </w:tblStylePr>
    <w:tblStylePr w:type="firstRow">
      <w:rPr>
        <w:b/>
        <w:color w:val="FFFFFF"/>
      </w:rPr>
      <w:tcPr>
        <w:shd w:val="clear" w:color="auto" w:fill="156082"/>
      </w:tcPr>
    </w:tblStylePr>
  </w:style>
  <w:style w:type="table" w:styleId="ListTable3AccentBlue">
    <w:name w:val="List Table 3 – Blue"/>
    <w:basedOn w:val="TableNormal"/>
    <w:uiPriority w:val="60"/>
    <w:pPr>
      <w:spacing w:after="0" w:line="240" w:lineRule="auto"/>
    </w:p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color w:val="FFFFFF"/>
      </w:rPr>
      <w:tcPr>
        <w:shd w:val="clear" w:color="auto" w:fill="156082"/>
      </w:tcPr>
    </w:tblStylePr>
    <w:tblStylePr w:type="lastRow">
      <w:tcPr>
        <w:tcBorders>
          <w:top w:val="single" w:sz="4" w:space="0" w:color="156082"/>
        </w:tcBorders>
      </w:tcPr>
    </w:tblStylePr>
  </w:style>
  <w:style w:type="table" w:styleId="GridTable4AccentOrange">
    <w:name w:val="Grid Table 4 – Orange"/>
    <w:basedOn w:val="TableNormal"/>
    <w:uiPriority w:val="60"/>
    <w:pPr>
      <w:spacing w:after="0" w:line="240" w:lineRule="auto"/>
    </w:pPr>
    <w:tblPr>
      <w:tblStyleRowBandSize w:val="1"/>
      <w:tblStyleColBandSize w:val="1"/>
      <w:tblBorders>
        <w:top w:val="single" w:sz="4" w:space="0" w:color="FBE2D5"/>
        <w:left w:val="single" w:sz="4" w:space="0" w:color="FBE2D5"/>
        <w:bottom w:val="single" w:sz="4" w:space="0" w:color="FBE2D5"/>
        <w:right w:val="single" w:sz="4" w:space="0" w:color="FBE2D5"/>
        <w:insideH w:val="single" w:sz="4" w:space="0" w:color="FBE2D5"/>
        <w:insideV w:val="single" w:sz="4" w:space="0" w:color="FBE2D5"/>
      </w:tblBorders>
    </w:tblPr>
    <w:tblStylePr w:type="band1Horz">
      <w:tcPr>
        <w:shd w:val="clear" w:color="auto" w:fill="FBE2D5"/>
      </w:tcPr>
    </w:tblStylePr>
    <w:tblStylePr w:type="firstCol">
      <w:rPr>
        <w:b/>
      </w:rPr>
    </w:tblStylePr>
    <w:tblStylePr w:type="firstRow">
      <w:rPr>
        <w:b/>
        <w:color w:val="FFFFFF"/>
      </w:rPr>
      <w:tcPr>
        <w:shd w:val="clear" w:color="auto" w:fill="E97132"/>
      </w:tcPr>
    </w:tblStylePr>
  </w:style>
  <w:style w:type="table" w:styleId="ListTable3AccentOrange">
    <w:name w:val="List Table 3 – Orange"/>
    <w:basedOn w:val="TableNormal"/>
    <w:uiPriority w:val="60"/>
    <w:pPr>
      <w:spacing w:after="0" w:line="240" w:lineRule="auto"/>
    </w:p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color w:val="FFFFFF"/>
      </w:rPr>
      <w:tcPr>
        <w:shd w:val="clear" w:color="auto" w:fill="E97132"/>
      </w:tcPr>
    </w:tblStylePr>
    <w:tblStylePr w:type="lastRow">
      <w:tcPr>
        <w:tcBorders>
          <w:top w:val="single" w:sz="4" w:space="0" w:color="E97132"/>
        </w:tcBorders>
      </w:tcPr>
    </w:tblStylePr>
  </w:style>
  <w:style w:type="table" w:styleId="GridTable4AccentGreen">
    <w:name w:val="Grid Table 4 – Green"/>
    <w:basedOn w:val="TableNormal"/>
    <w:uiPriority w:val="60"/>
    <w:pPr>
      <w:spacing w:after="0" w:line="240" w:lineRule="auto"/>
    </w:pPr>
    <w:tblPr>
      <w:tblStyleRowBandSize w:val="1"/>
      <w:tblStyleColBandSize w:val="1"/>
      <w:tblBorders>
        <w:top w:val="single" w:sz="4" w:space="0" w:color="C1F0C8"/>
        <w:left w:val="single" w:sz="4" w:space="0" w:color="C1F0C8"/>
        <w:bottom w:val="single" w:sz="4" w:space="0" w:color="C1F0C8"/>
        <w:right w:val="single" w:sz="4" w:space="0" w:color="C1F0C8"/>
        <w:insideH w:val="single" w:sz="4" w:space="0" w:color="C1F0C8"/>
        <w:insideV w:val="single" w:sz="4" w:space="0" w:color="C1F0C8"/>
      </w:tblBorders>
    </w:tblPr>
    <w:tblStylePr w:type="band1Horz">
      <w:tcPr>
        <w:shd w:val="clear" w:color="auto" w:fill="C1F0C8"/>
      </w:tcPr>
    </w:tblStylePr>
    <w:tblStylePr w:type="firstCol">
      <w:rPr>
        <w:b/>
      </w:rPr>
    </w:tblStylePr>
    <w:tblStylePr w:type="firstRow">
      <w:rPr>
        <w:b/>
        <w:color w:val="FFFFFF"/>
      </w:rPr>
      <w:tcPr>
        <w:shd w:val="clear" w:color="auto" w:fill="196B24"/>
      </w:tcPr>
    </w:tblStylePr>
  </w:style>
  <w:style w:type="table" w:styleId="ListTable3AccentGreen">
    <w:name w:val="List Table 3 – Green"/>
    <w:basedOn w:val="TableNormal"/>
    <w:uiPriority w:val="60"/>
    <w:pPr>
      <w:spacing w:after="0" w:line="240" w:lineRule="auto"/>
    </w:p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color w:val="FFFFFF"/>
      </w:rPr>
      <w:tcPr>
        <w:shd w:val="clear" w:color="auto" w:fill="196B24"/>
      </w:tcPr>
    </w:tblStylePr>
    <w:tblStylePr w:type="lastRow">
      <w:tcPr>
        <w:tcBorders>
          <w:top w:val="single" w:sz="4" w:space="0" w:color="196B24"/>
        </w:tcBorders>
      </w:tcPr>
    </w:tblStylePr>
  </w:style>
  <w:style w:type="table" w:styleId="GridTable4AccentPurple">
    <w:name w:val="Grid Table 4 – Purple"/>
    <w:basedOn w:val="TableNormal"/>
    <w:uiPriority w:val="60"/>
    <w:pPr>
      <w:spacing w:after="0" w:line="240" w:lineRule="auto"/>
    </w:pPr>
    <w:tblPr>
      <w:tblStyleRowBandSize w:val="1"/>
      <w:tblStyleColBandSize w:val="1"/>
      <w:tblBorders>
        <w:top w:val="single" w:sz="4" w:space="0" w:color="E5D2EE"/>
        <w:left w:val="single" w:sz="4" w:space="0" w:color="E5D2EE"/>
        <w:bottom w:val="single" w:sz="4" w:space="0" w:color="E5D2EE"/>
        <w:right w:val="single" w:sz="4" w:space="0" w:color="E5D2EE"/>
        <w:insideH w:val="single" w:sz="4" w:space="0" w:color="E5D2EE"/>
        <w:insideV w:val="single" w:sz="4" w:space="0" w:color="E5D2EE"/>
      </w:tblBorders>
    </w:tblPr>
    <w:tblStylePr w:type="band1Horz">
      <w:tcPr>
        <w:shd w:val="clear" w:color="auto" w:fill="E5D2EE"/>
      </w:tcPr>
    </w:tblStylePr>
    <w:tblStylePr w:type="firstCol">
      <w:rPr>
        <w:b/>
      </w:rPr>
    </w:tblStylePr>
    <w:tblStylePr w:type="firstRow">
      <w:rPr>
        <w:b/>
        <w:color w:val="FFFFFF"/>
      </w:rPr>
      <w:tcPr>
        <w:shd w:val="clear" w:color="auto" w:fill="712E8D"/>
      </w:tcPr>
    </w:tblStylePr>
  </w:style>
  <w:style w:type="table" w:styleId="ListTable3AccentPurple">
    <w:name w:val="List Table 3 – Purple"/>
    <w:basedOn w:val="TableNormal"/>
    <w:uiPriority w:val="60"/>
    <w:pPr>
      <w:spacing w:after="0" w:line="240" w:lineRule="auto"/>
    </w:pPr>
    <w:tblPr>
      <w:tblStyleRowBandSize w:val="1"/>
      <w:tblStyleColBandSize w:val="1"/>
      <w:tblBorders>
        <w:top w:val="single" w:sz="4" w:space="0" w:color="712E8D"/>
        <w:left w:val="single" w:sz="4" w:space="0" w:color="712E8D"/>
        <w:bottom w:val="single" w:sz="4" w:space="0" w:color="712E8D"/>
        <w:right w:val="single" w:sz="4" w:space="0" w:color="712E8D"/>
      </w:tblBorders>
    </w:tblPr>
    <w:tblStylePr w:type="firstRow">
      <w:rPr>
        <w:b/>
        <w:color w:val="FFFFFF"/>
      </w:rPr>
      <w:tcPr>
        <w:shd w:val="clear" w:color="auto" w:fill="712E8D"/>
      </w:tcPr>
    </w:tblStylePr>
    <w:tblStylePr w:type="lastRow">
      <w:tcPr>
        <w:tcBorders>
          <w:top w:val="single" w:sz="4" w:space="0" w:color="712E8D"/>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hyperlink" Target="https://www.charterofhealthfreedom.org/" TargetMode="Externa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fontTable" Target="fontTable.xml"/><Relationship Id="rId7"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Cambria"/>
        <a:ea typeface=""/>
        <a:cs typeface=""/>
      </a:majorFont>
      <a:minorFont>
        <a:latin typeface="Calibri"/>
        <a:ea typeface=""/>
        <a:cs typeface=""/>
      </a:minorFont>
    </a:fontScheme>
    <a:fmtScheme name="Office Theme">
      <a:fillStyleLst>
        <a:solidFill>
          <a:schemeClr val="phClr"/>
        </a:solidFill>
        <a:solidFill>
          <a:schemeClr val="phClr"/>
        </a:solidFill>
        <a:solidFill>
          <a:schemeClr val="phClr"/>
        </a:soli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WordCraft</Application>
  <Words>1500</Words>
  <Paragraphs>38</Paragraphs>
  <DocSecurity>0</DocSecurity>
  <Template>Normal.dotm</Template>
  <ScaleCrop>false</ScaleCrop>
  <Company/>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Owner-H170</dc:creator>
  <cp:lastModifiedBy>WordCraft User</cp:lastModifiedBy>
  <cp:revision>3</cp:revision>
  <dcterms:created xsi:type="dcterms:W3CDTF">2026-10-23T23:02:00Z</dcterms:created>
  <dcterms:modified xsi:type="dcterms:W3CDTF">2026-10-27T02:10:12Z</dcterms:modified>
</cp:coreProperties>
</file>